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-972" w:type="dxa"/>
        <w:tblLayout w:type="fixed"/>
        <w:tblLook w:val="01E0"/>
      </w:tblPr>
      <w:tblGrid>
        <w:gridCol w:w="2490"/>
        <w:gridCol w:w="1008"/>
        <w:gridCol w:w="1112"/>
        <w:gridCol w:w="4057"/>
        <w:gridCol w:w="2239"/>
        <w:gridCol w:w="4214"/>
      </w:tblGrid>
      <w:tr w:rsidR="001D6881" w:rsidRPr="000E097D" w:rsidTr="001D6881">
        <w:trPr>
          <w:trHeight w:val="84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pStyle w:val="1"/>
              <w:spacing w:line="189" w:lineRule="exact"/>
              <w:ind w:left="100"/>
              <w:rPr>
                <w:rFonts w:ascii="Calibri" w:hAnsi="Calibri" w:cs="Calibri"/>
                <w:b w:val="0"/>
                <w:bCs w:val="0"/>
                <w:color w:val="000000"/>
                <w:sz w:val="17"/>
                <w:szCs w:val="17"/>
                <w:lang w:val="ro-RO"/>
              </w:rPr>
            </w:pPr>
            <w:r w:rsidRPr="001D6881">
              <w:rPr>
                <w:rFonts w:ascii="Calibri" w:hAnsi="Calibri" w:cs="Calibri"/>
                <w:b w:val="0"/>
                <w:bCs w:val="0"/>
                <w:color w:val="000000"/>
                <w:sz w:val="17"/>
                <w:szCs w:val="17"/>
                <w:lang w:val="ro-RO"/>
              </w:rPr>
              <w:t>G.B. și R.B.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96126B">
            <w:pPr>
              <w:ind w:left="-108" w:right="-108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</w:pPr>
            <w:r w:rsidRPr="001D6881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18/12/2012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96126B">
            <w:pPr>
              <w:ind w:left="-12"/>
              <w:jc w:val="center"/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val="ro-RO"/>
              </w:rPr>
            </w:pPr>
            <w:r w:rsidRPr="001D6881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val="ro-RO"/>
              </w:rPr>
              <w:t>16761/09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autoSpaceDE w:val="0"/>
              <w:autoSpaceDN w:val="0"/>
              <w:adjustRightInd w:val="0"/>
              <w:jc w:val="both"/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</w:pPr>
            <w:r w:rsidRPr="001D6881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t>violarea art. 8 CEDO – acordarea de către instanţele naţionale a unor compensaţii insuficiente pentru prejudiciul cauzat.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96126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Suma totala - EUR 14,000</w:t>
            </w:r>
          </w:p>
          <w:p w:rsidR="001D6881" w:rsidRPr="001D6881" w:rsidRDefault="001D6881" w:rsidP="0096126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Prejudiciu - EUR 12,000</w:t>
            </w:r>
          </w:p>
          <w:p w:rsidR="001D6881" w:rsidRPr="001D6881" w:rsidRDefault="001D6881" w:rsidP="001D6881">
            <w:pPr>
              <w:pStyle w:val="1"/>
              <w:spacing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Cost. și </w:t>
            </w:r>
            <w:proofErr w:type="spellStart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chelt</w:t>
            </w:r>
            <w:proofErr w:type="spellEnd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- EUR 2,000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Instanţa de fond -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hotarirea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 din 18.09.2007,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Judecator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 P.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Grumeza</w:t>
            </w:r>
            <w:proofErr w:type="spellEnd"/>
          </w:p>
          <w:p w:rsidR="001D6881" w:rsidRPr="001D6881" w:rsidRDefault="001D6881" w:rsidP="001D6881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 Instanţa de apel - decizia din 24.01.2008,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Judecatori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: </w:t>
            </w:r>
            <w:r w:rsidRPr="001D6881">
              <w:rPr>
                <w:rFonts w:ascii="Calibri" w:hAnsi="Calibri"/>
                <w:sz w:val="16"/>
                <w:szCs w:val="16"/>
                <w:highlight w:val="yellow"/>
                <w:u w:val="single"/>
                <w:lang w:val="ro-RO"/>
              </w:rPr>
              <w:t>N. BUDĂI</w:t>
            </w: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, L.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Popova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, I.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Secrieru</w:t>
            </w:r>
            <w:proofErr w:type="spellEnd"/>
          </w:p>
          <w:p w:rsidR="001D6881" w:rsidRPr="001D6881" w:rsidRDefault="001D6881" w:rsidP="001D6881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 Instanţa de recurs - decizia din 24.09.2008, Judecători: N.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Timofti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, S.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Filincova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, T. Răducanu, V. Arhip, I.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Corolevschi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.</w:t>
            </w:r>
          </w:p>
        </w:tc>
      </w:tr>
      <w:tr w:rsidR="001D6881" w:rsidRPr="00431043" w:rsidTr="001D6881">
        <w:trPr>
          <w:trHeight w:val="84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pStyle w:val="1"/>
              <w:spacing w:line="189" w:lineRule="exact"/>
              <w:ind w:left="100"/>
              <w:rPr>
                <w:rStyle w:val="normal--char"/>
                <w:rFonts w:ascii="Calibri" w:hAnsi="Calibri" w:cs="Calibri"/>
                <w:b w:val="0"/>
                <w:bCs w:val="0"/>
                <w:color w:val="000000"/>
                <w:sz w:val="17"/>
                <w:szCs w:val="17"/>
                <w:lang w:val="ro-RO"/>
              </w:rPr>
            </w:pPr>
            <w:r w:rsidRPr="001D6881">
              <w:rPr>
                <w:rStyle w:val="normal--char"/>
                <w:rFonts w:ascii="Calibri" w:hAnsi="Calibri" w:cs="Calibri"/>
                <w:b w:val="0"/>
                <w:bCs w:val="0"/>
                <w:color w:val="000000"/>
                <w:sz w:val="17"/>
                <w:szCs w:val="17"/>
                <w:lang w:val="ro-RO"/>
              </w:rPr>
              <w:t>BALAN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96126B">
            <w:pPr>
              <w:ind w:left="-108" w:right="-108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</w:pPr>
            <w:r w:rsidRPr="001D6881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29.01.2008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ind w:left="-12"/>
              <w:jc w:val="center"/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val="ro-RO"/>
              </w:rPr>
            </w:pPr>
            <w:r w:rsidRPr="001D6881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val="ro-RO"/>
              </w:rPr>
              <w:t>19247/03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autoSpaceDE w:val="0"/>
              <w:autoSpaceDN w:val="0"/>
              <w:adjustRightInd w:val="0"/>
              <w:jc w:val="both"/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</w:pPr>
            <w:r w:rsidRPr="001D6881">
              <w:rPr>
                <w:rStyle w:val="Strong"/>
                <w:rFonts w:ascii="Calibri" w:hAnsi="Calibri" w:cs="TT2Bo00"/>
                <w:b w:val="0"/>
                <w:bCs w:val="0"/>
                <w:sz w:val="16"/>
                <w:szCs w:val="16"/>
                <w:u w:val="single"/>
                <w:lang w:val="ro-RO" w:eastAsia="en-GB"/>
              </w:rPr>
              <w:t>violarea</w:t>
            </w:r>
            <w:r w:rsidRPr="001D6881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t xml:space="preserve"> art. 1 Protocolul nr. 1 la Convenţie (protecţia proprietăţii) – refuzul instanţelor de judecată naţionale de a acorda reclamantului compensaţii pentru încălcarea dreptului său de proprietate intelectuală, în urma folosirii fotografiei făcute de reclamant în calitate de fundal pentru buletinele de identitate.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pStyle w:val="1"/>
              <w:spacing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proofErr w:type="spellStart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. </w:t>
            </w:r>
            <w:proofErr w:type="spellStart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mater.-</w:t>
            </w:r>
            <w:proofErr w:type="spellEnd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 € 5,000</w:t>
            </w:r>
          </w:p>
          <w:p w:rsidR="001D6881" w:rsidRPr="001D6881" w:rsidRDefault="001D6881" w:rsidP="001D6881">
            <w:pPr>
              <w:pStyle w:val="1"/>
              <w:spacing w:line="189" w:lineRule="exac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Cost/</w:t>
            </w:r>
            <w:proofErr w:type="spellStart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chelt.-</w:t>
            </w:r>
            <w:proofErr w:type="spellEnd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 € 2,000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1. Au respins acţiunea în apel – </w:t>
            </w:r>
            <w:proofErr w:type="spellStart"/>
            <w:r w:rsidRPr="00E20651">
              <w:rPr>
                <w:rFonts w:ascii="Calibri" w:hAnsi="Calibri"/>
                <w:sz w:val="16"/>
                <w:szCs w:val="16"/>
                <w:highlight w:val="yellow"/>
                <w:u w:val="single"/>
                <w:lang w:val="ro-RO"/>
              </w:rPr>
              <w:t>Nelea</w:t>
            </w:r>
            <w:proofErr w:type="spellEnd"/>
            <w:r w:rsidRPr="00E20651">
              <w:rPr>
                <w:rFonts w:ascii="Calibri" w:hAnsi="Calibri"/>
                <w:sz w:val="16"/>
                <w:szCs w:val="16"/>
                <w:highlight w:val="yellow"/>
                <w:u w:val="single"/>
                <w:lang w:val="ro-RO"/>
              </w:rPr>
              <w:t xml:space="preserve"> BUDĂI</w:t>
            </w: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, Ion COROLEVSCHI, Gheorghe GORUN, judecători, Curtea de Apel Chişinău;</w:t>
            </w:r>
          </w:p>
          <w:p w:rsidR="001D6881" w:rsidRPr="001D6881" w:rsidRDefault="001D6881" w:rsidP="001D6881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2. Au respins recursul reclamantului – Vera MACINSKAIA, Dumitru VISTERNICEANU, Nicolae CLIMA, judecători, Curtea Supremă de Justiţie.</w:t>
            </w:r>
          </w:p>
        </w:tc>
      </w:tr>
      <w:tr w:rsidR="001D6881" w:rsidRPr="00130F01" w:rsidTr="001D6881">
        <w:trPr>
          <w:trHeight w:val="84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pStyle w:val="1"/>
              <w:spacing w:line="189" w:lineRule="exact"/>
              <w:ind w:left="100"/>
              <w:rPr>
                <w:rFonts w:ascii="Calibri" w:hAnsi="Calibri" w:cs="Calibri"/>
                <w:b w:val="0"/>
                <w:bCs w:val="0"/>
                <w:color w:val="000000"/>
                <w:sz w:val="17"/>
                <w:szCs w:val="17"/>
                <w:lang w:val="ro-RO"/>
              </w:rPr>
            </w:pPr>
            <w:r w:rsidRPr="001D6881">
              <w:rPr>
                <w:rFonts w:ascii="Calibri" w:hAnsi="Calibri" w:cs="Calibri"/>
                <w:b w:val="0"/>
                <w:bCs w:val="0"/>
                <w:color w:val="000000"/>
                <w:sz w:val="17"/>
                <w:szCs w:val="17"/>
                <w:lang w:val="ro-RO"/>
              </w:rPr>
              <w:t>CAZACU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ind w:left="-108" w:right="-108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</w:pPr>
            <w:r w:rsidRPr="001D6881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23/10/2007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ind w:left="-12"/>
              <w:jc w:val="center"/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val="ro-RO"/>
              </w:rPr>
            </w:pPr>
            <w:r w:rsidRPr="001D6881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val="ro-RO"/>
              </w:rPr>
              <w:t>40117/02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autoSpaceDE w:val="0"/>
              <w:autoSpaceDN w:val="0"/>
              <w:adjustRightInd w:val="0"/>
              <w:jc w:val="both"/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</w:pPr>
            <w:r w:rsidRPr="001D6881">
              <w:rPr>
                <w:rStyle w:val="Strong"/>
                <w:rFonts w:ascii="Calibri" w:hAnsi="Calibri" w:cs="TT2Bo00"/>
                <w:b w:val="0"/>
                <w:bCs w:val="0"/>
                <w:sz w:val="16"/>
                <w:szCs w:val="16"/>
                <w:u w:val="single"/>
                <w:lang w:val="ro-RO" w:eastAsia="en-GB"/>
              </w:rPr>
              <w:t>Violarea art. 1 Protocolul nr. 1 la Convenţie (protecţia proprietăţii)</w:t>
            </w:r>
            <w:r w:rsidRPr="001D6881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t xml:space="preserve"> – refuzul instanţelor naţionale, fără un temei legal, de a încasa în folosul reclamantului indemnizaţia de concediere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pStyle w:val="1"/>
              <w:spacing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proofErr w:type="spellStart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. </w:t>
            </w:r>
            <w:proofErr w:type="spellStart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Mater.-</w:t>
            </w:r>
            <w:proofErr w:type="spellEnd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 € 805</w:t>
            </w:r>
          </w:p>
          <w:p w:rsidR="001D6881" w:rsidRPr="001D6881" w:rsidRDefault="001D6881" w:rsidP="001D6881">
            <w:pPr>
              <w:pStyle w:val="1"/>
              <w:spacing w:line="189" w:lineRule="exac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proofErr w:type="spellStart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. </w:t>
            </w:r>
            <w:proofErr w:type="spellStart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Moral.-</w:t>
            </w:r>
            <w:proofErr w:type="spellEnd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 € 2,000</w:t>
            </w:r>
          </w:p>
          <w:p w:rsidR="001D6881" w:rsidRPr="001D6881" w:rsidRDefault="001D6881" w:rsidP="001D6881">
            <w:pPr>
              <w:pStyle w:val="1"/>
              <w:spacing w:line="189" w:lineRule="exac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Cost/</w:t>
            </w:r>
            <w:proofErr w:type="spellStart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chelt.-</w:t>
            </w:r>
            <w:proofErr w:type="spellEnd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 €  1,000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a) a pronunţat hotărârea primei instanţe - L. Curca, Judecătoria sectorului Cimişlia</w:t>
            </w:r>
          </w:p>
          <w:p w:rsidR="001D6881" w:rsidRPr="001D6881" w:rsidRDefault="001D6881" w:rsidP="001D6881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b) a pronunţat hotărârea instanţei de apel – Dumitru CHEBAC, Ion DĂNILA, I. Stoian, preşedinte şi, respectiv, judecători, Tribunalul Cahul </w:t>
            </w:r>
          </w:p>
          <w:p w:rsidR="001D6881" w:rsidRPr="001D6881" w:rsidRDefault="001D6881" w:rsidP="001D6881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c) a pronunţat hotărârea instanţei de recurs - </w:t>
            </w:r>
            <w:proofErr w:type="spellStart"/>
            <w:r w:rsidRPr="00E20651">
              <w:rPr>
                <w:rFonts w:ascii="Calibri" w:hAnsi="Calibri"/>
                <w:sz w:val="16"/>
                <w:szCs w:val="16"/>
                <w:highlight w:val="yellow"/>
                <w:u w:val="single"/>
                <w:lang w:val="ro-RO"/>
              </w:rPr>
              <w:t>Nelea</w:t>
            </w:r>
            <w:proofErr w:type="spellEnd"/>
            <w:r w:rsidRPr="00E20651">
              <w:rPr>
                <w:rFonts w:ascii="Calibri" w:hAnsi="Calibri"/>
                <w:sz w:val="16"/>
                <w:szCs w:val="16"/>
                <w:highlight w:val="yellow"/>
                <w:u w:val="single"/>
                <w:lang w:val="ro-RO"/>
              </w:rPr>
              <w:t xml:space="preserve"> BUDĂI,</w:t>
            </w: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 Tatiana DONEVA, G. Gorun, judecători, Curtea de Apel a Republicii Moldova.</w:t>
            </w:r>
          </w:p>
        </w:tc>
      </w:tr>
      <w:tr w:rsidR="001D6881" w:rsidRPr="00130F01" w:rsidTr="001D6881">
        <w:trPr>
          <w:trHeight w:val="84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pStyle w:val="1"/>
              <w:spacing w:line="189" w:lineRule="exact"/>
              <w:ind w:left="100"/>
              <w:rPr>
                <w:rFonts w:ascii="Calibri" w:hAnsi="Calibri" w:cs="Calibri"/>
                <w:b w:val="0"/>
                <w:bCs w:val="0"/>
                <w:color w:val="000000"/>
                <w:sz w:val="17"/>
                <w:szCs w:val="17"/>
                <w:lang w:val="ro-RO"/>
              </w:rPr>
            </w:pPr>
            <w:r w:rsidRPr="001D6881">
              <w:rPr>
                <w:rFonts w:ascii="Calibri" w:hAnsi="Calibri" w:cs="Calibri"/>
                <w:b w:val="0"/>
                <w:bCs w:val="0"/>
                <w:color w:val="000000"/>
                <w:sz w:val="17"/>
                <w:szCs w:val="17"/>
                <w:lang w:val="ro-RO"/>
              </w:rPr>
              <w:t>FLUX si SAMSON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ind w:left="-108" w:right="-108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</w:pPr>
            <w:r w:rsidRPr="001D6881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23/10/2007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ind w:left="-12"/>
              <w:jc w:val="center"/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val="ro-RO"/>
              </w:rPr>
            </w:pPr>
            <w:r w:rsidRPr="001D6881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val="ro-RO"/>
              </w:rPr>
              <w:t>28700/03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autoSpaceDE w:val="0"/>
              <w:autoSpaceDN w:val="0"/>
              <w:adjustRightInd w:val="0"/>
              <w:jc w:val="both"/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</w:pPr>
            <w:r w:rsidRPr="001D6881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t>violarea art. 10 al Convenţiei (libertatea de exprimare) - obligarea ziarului fără a justificare suficientă să publice dezminţire şi plătească compensaţii lui Gheorghe CĂLUGĂRU, ex-ministrul Construcţiilor, pentru publicarea unui articol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pStyle w:val="1"/>
              <w:spacing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proofErr w:type="spellStart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. </w:t>
            </w:r>
            <w:proofErr w:type="spellStart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Mater.-</w:t>
            </w:r>
            <w:proofErr w:type="spellEnd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 € 112</w:t>
            </w:r>
          </w:p>
          <w:p w:rsidR="001D6881" w:rsidRPr="001D6881" w:rsidRDefault="001D6881" w:rsidP="001D6881">
            <w:pPr>
              <w:pStyle w:val="1"/>
              <w:spacing w:line="189" w:lineRule="exac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proofErr w:type="spellStart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. </w:t>
            </w:r>
            <w:proofErr w:type="spellStart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Moral.-</w:t>
            </w:r>
            <w:proofErr w:type="spellEnd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 € 3,000</w:t>
            </w:r>
          </w:p>
          <w:p w:rsidR="001D6881" w:rsidRPr="001D6881" w:rsidRDefault="001D6881" w:rsidP="001D6881">
            <w:pPr>
              <w:pStyle w:val="1"/>
              <w:spacing w:line="189" w:lineRule="exac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Cost/</w:t>
            </w:r>
            <w:proofErr w:type="spellStart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chelt.-</w:t>
            </w:r>
            <w:proofErr w:type="spellEnd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 €  1,000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a) A emis hotărârea primei instanţe – Sergiu LAZARI, judecător, Judecătoria sectorului Buiucani;</w:t>
            </w:r>
          </w:p>
          <w:p w:rsidR="001D6881" w:rsidRPr="001D6881" w:rsidRDefault="001D6881" w:rsidP="001D6881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b) a menţinut hotărârea în apel – Iulia SÎRCU, Nina TRACIUC, Gheorghe CREŢU, judecători, Tribunalul Chişinău;</w:t>
            </w:r>
          </w:p>
          <w:p w:rsidR="001D6881" w:rsidRPr="001D6881" w:rsidRDefault="001D6881" w:rsidP="001D6881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c) a menţinut hotărârea în instanţa de recurs – Gh. Gorun, Galina STRATULAT, </w:t>
            </w:r>
            <w:proofErr w:type="spellStart"/>
            <w:r w:rsidRPr="00E20651">
              <w:rPr>
                <w:rFonts w:ascii="Calibri" w:hAnsi="Calibri"/>
                <w:sz w:val="16"/>
                <w:szCs w:val="16"/>
                <w:highlight w:val="yellow"/>
                <w:u w:val="single"/>
                <w:lang w:val="ro-RO"/>
              </w:rPr>
              <w:t>Nelea</w:t>
            </w:r>
            <w:proofErr w:type="spellEnd"/>
            <w:r w:rsidRPr="00E20651">
              <w:rPr>
                <w:rFonts w:ascii="Calibri" w:hAnsi="Calibri"/>
                <w:sz w:val="16"/>
                <w:szCs w:val="16"/>
                <w:highlight w:val="yellow"/>
                <w:u w:val="single"/>
                <w:lang w:val="ro-RO"/>
              </w:rPr>
              <w:t xml:space="preserve"> BUDĂI</w:t>
            </w: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, judecători, Curtea de Apel a Republicii Moldova</w:t>
            </w:r>
          </w:p>
        </w:tc>
      </w:tr>
      <w:tr w:rsidR="001D6881" w:rsidRPr="00910FCD" w:rsidTr="001D6881">
        <w:trPr>
          <w:trHeight w:val="84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pStyle w:val="1"/>
              <w:spacing w:line="189" w:lineRule="exact"/>
              <w:ind w:left="100"/>
              <w:jc w:val="left"/>
              <w:rPr>
                <w:rFonts w:ascii="Calibri" w:hAnsi="Calibri" w:cs="Calibri"/>
                <w:b w:val="0"/>
                <w:bCs w:val="0"/>
                <w:color w:val="000000"/>
                <w:sz w:val="17"/>
                <w:szCs w:val="17"/>
                <w:lang w:val="ro-RO"/>
              </w:rPr>
            </w:pPr>
            <w:r w:rsidRPr="001D6881">
              <w:rPr>
                <w:rFonts w:ascii="Calibri" w:hAnsi="Calibri" w:cs="Calibri"/>
                <w:b w:val="0"/>
                <w:bCs w:val="0"/>
                <w:color w:val="000000"/>
                <w:sz w:val="17"/>
                <w:szCs w:val="17"/>
                <w:lang w:val="ro-RO"/>
              </w:rPr>
              <w:t>POPOV (2)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ind w:left="-108" w:right="-108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</w:pPr>
            <w:r w:rsidRPr="001D6881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6.12.2005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ind w:left="-12"/>
              <w:jc w:val="center"/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val="ro-RO"/>
              </w:rPr>
            </w:pPr>
            <w:r w:rsidRPr="001D6881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val="ro-RO"/>
              </w:rPr>
              <w:t>19960/04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autoSpaceDE w:val="0"/>
              <w:autoSpaceDN w:val="0"/>
              <w:adjustRightInd w:val="0"/>
              <w:jc w:val="both"/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</w:pPr>
            <w:r w:rsidRPr="001D6881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t xml:space="preserve">violarea art. 6 (dreptul la un proces echitabil) – revizuirea după mai mult de 6 ani, fără a indica motivele revizuirii, a unei hotărâri irevocabile privind retrocedarea unui imobil în folosul reclamantului, care nu a fost executată, după ce neexecutarea hotărârii a fost invocată în faţa </w:t>
            </w:r>
            <w:proofErr w:type="spellStart"/>
            <w:r w:rsidRPr="001D6881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t>CtEDO</w:t>
            </w:r>
            <w:proofErr w:type="spellEnd"/>
            <w:r w:rsidRPr="001D6881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t xml:space="preserve"> şi cererea a fost comunicată Guvernului.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pStyle w:val="1"/>
              <w:spacing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Comp. </w:t>
            </w:r>
            <w:proofErr w:type="spellStart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mater.-</w:t>
            </w:r>
            <w:proofErr w:type="spellEnd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 € 3,365</w:t>
            </w:r>
          </w:p>
          <w:p w:rsidR="001D6881" w:rsidRPr="001D6881" w:rsidRDefault="001D6881" w:rsidP="001D6881">
            <w:pPr>
              <w:pStyle w:val="1"/>
              <w:spacing w:line="189" w:lineRule="exac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Comp. moral.– € 3,000</w:t>
            </w:r>
          </w:p>
          <w:p w:rsidR="001D6881" w:rsidRPr="001D6881" w:rsidRDefault="001D6881" w:rsidP="001D6881">
            <w:pPr>
              <w:pStyle w:val="1"/>
              <w:spacing w:line="189" w:lineRule="exac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Cost/</w:t>
            </w:r>
            <w:proofErr w:type="spellStart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chelt.-</w:t>
            </w:r>
            <w:proofErr w:type="spellEnd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 € 715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Casarea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iregulamentară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 a hotărârii judecătoreşti irevocabile în folosul reclamantului – Nina VASCAN, </w:t>
            </w:r>
            <w:proofErr w:type="spellStart"/>
            <w:r w:rsidRPr="00E20651">
              <w:rPr>
                <w:rFonts w:ascii="Calibri" w:hAnsi="Calibri"/>
                <w:sz w:val="16"/>
                <w:szCs w:val="16"/>
                <w:highlight w:val="yellow"/>
                <w:u w:val="single"/>
                <w:lang w:val="ro-RO"/>
              </w:rPr>
              <w:t>Nelea</w:t>
            </w:r>
            <w:proofErr w:type="spellEnd"/>
            <w:r w:rsidRPr="00E20651">
              <w:rPr>
                <w:rFonts w:ascii="Calibri" w:hAnsi="Calibri"/>
                <w:sz w:val="16"/>
                <w:szCs w:val="16"/>
                <w:highlight w:val="yellow"/>
                <w:u w:val="single"/>
                <w:lang w:val="ro-RO"/>
              </w:rPr>
              <w:t xml:space="preserve"> BUDĂI</w:t>
            </w: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, Valeriu BOGOROŞ, judecători, Curtea de Apel Chişinău. </w:t>
            </w:r>
          </w:p>
        </w:tc>
      </w:tr>
      <w:tr w:rsidR="001D6881" w:rsidRPr="00910FCD" w:rsidTr="001D6881">
        <w:trPr>
          <w:trHeight w:val="84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pStyle w:val="1"/>
              <w:spacing w:line="189" w:lineRule="exact"/>
              <w:ind w:left="100"/>
              <w:jc w:val="left"/>
              <w:rPr>
                <w:rFonts w:ascii="Calibri" w:hAnsi="Calibri" w:cs="Calibri"/>
                <w:b w:val="0"/>
                <w:bCs w:val="0"/>
                <w:color w:val="000000"/>
                <w:sz w:val="17"/>
                <w:szCs w:val="17"/>
                <w:lang w:val="ro-RO"/>
              </w:rPr>
            </w:pPr>
            <w:r w:rsidRPr="001D6881">
              <w:rPr>
                <w:rFonts w:ascii="Calibri" w:hAnsi="Calibri" w:cs="Calibri"/>
                <w:b w:val="0"/>
                <w:bCs w:val="0"/>
                <w:color w:val="000000"/>
                <w:sz w:val="17"/>
                <w:szCs w:val="17"/>
                <w:lang w:val="ro-RO"/>
              </w:rPr>
              <w:t>PPCD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ind w:left="-108" w:right="-108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</w:pPr>
            <w:r w:rsidRPr="001D6881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14.02.2006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ind w:left="-12"/>
              <w:jc w:val="center"/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val="ro-RO"/>
              </w:rPr>
            </w:pPr>
            <w:r w:rsidRPr="001D6881"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  <w:lang w:val="ro-RO"/>
              </w:rPr>
              <w:t>28793/02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autoSpaceDE w:val="0"/>
              <w:autoSpaceDN w:val="0"/>
              <w:adjustRightInd w:val="0"/>
              <w:jc w:val="both"/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</w:pPr>
            <w:r w:rsidRPr="001D6881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t>violarea art. 11 al Convenţiei (libertatea de asociere) – suspendarea activităţii PPCD între 18 ianuarie şi 8 februarie 2002, pentru organizarea unor întruniri paşnice neautorizate de Primăria mun. Chişinău, la care au participat minori.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pStyle w:val="1"/>
              <w:spacing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Cost/</w:t>
            </w:r>
            <w:proofErr w:type="spellStart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chelt</w:t>
            </w:r>
            <w:proofErr w:type="spellEnd"/>
            <w:r w:rsidRPr="001D6881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- € 4,000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1D6881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(a) Suspendarea partidului – Ion MOREI, Ministru al Justiţiei;</w:t>
            </w:r>
          </w:p>
          <w:p w:rsidR="001D6881" w:rsidRPr="001D6881" w:rsidRDefault="001D6881" w:rsidP="001D6881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(b) Refuzul de a anula decizia de suspendare – </w:t>
            </w:r>
            <w:proofErr w:type="spellStart"/>
            <w:r w:rsidRPr="00E20651">
              <w:rPr>
                <w:rFonts w:ascii="Calibri" w:hAnsi="Calibri"/>
                <w:sz w:val="16"/>
                <w:szCs w:val="16"/>
                <w:highlight w:val="yellow"/>
                <w:u w:val="single"/>
                <w:lang w:val="ro-RO"/>
              </w:rPr>
              <w:t>Nelea</w:t>
            </w:r>
            <w:proofErr w:type="spellEnd"/>
            <w:r w:rsidRPr="00E20651">
              <w:rPr>
                <w:rFonts w:ascii="Calibri" w:hAnsi="Calibri"/>
                <w:sz w:val="16"/>
                <w:szCs w:val="16"/>
                <w:highlight w:val="yellow"/>
                <w:u w:val="single"/>
                <w:lang w:val="ro-RO"/>
              </w:rPr>
              <w:t xml:space="preserve"> BUDĂI</w:t>
            </w: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, Gheorghe GORUN, Valeriu BOGOROŞ, judecători, Curtea de Apel a Republicii Moldova; Vasile PASCARI, Anastasia PASCARI, Tudor POPOVICI, judecători, Curtea Supremă de Justiţie </w:t>
            </w:r>
          </w:p>
        </w:tc>
      </w:tr>
      <w:tr w:rsidR="001D6881" w:rsidRPr="00296998" w:rsidTr="001D6881">
        <w:trPr>
          <w:trHeight w:val="84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296998" w:rsidRDefault="001D6881" w:rsidP="0096126B">
            <w:pPr>
              <w:pStyle w:val="1"/>
              <w:spacing w:line="189" w:lineRule="exact"/>
              <w:ind w:left="100"/>
              <w:jc w:val="left"/>
              <w:rPr>
                <w:rStyle w:val="85pt"/>
                <w:rFonts w:ascii="Calibri" w:eastAsiaTheme="minorHAnsi" w:hAnsi="Calibri" w:cs="Calibri"/>
                <w:lang w:val="ro-RO"/>
              </w:rPr>
            </w:pPr>
            <w:r w:rsidRPr="00296998">
              <w:rPr>
                <w:rStyle w:val="85pt"/>
                <w:rFonts w:ascii="Calibri" w:eastAsiaTheme="minorHAnsi" w:hAnsi="Calibri" w:cs="Calibri"/>
                <w:lang w:val="ro-RO"/>
              </w:rPr>
              <w:t>Eremia și alții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296998" w:rsidRDefault="001D6881" w:rsidP="0096126B">
            <w:pPr>
              <w:ind w:left="-108" w:right="-108"/>
              <w:jc w:val="center"/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</w:pPr>
            <w:r w:rsidRPr="00296998"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  <w:t>28/05/2013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296998" w:rsidRDefault="001D6881" w:rsidP="0096126B">
            <w:pPr>
              <w:ind w:left="-12"/>
              <w:jc w:val="center"/>
              <w:rPr>
                <w:rStyle w:val="85pt0"/>
                <w:rFonts w:ascii="Calibri" w:hAnsi="Calibri" w:cs="Calibri"/>
                <w:b w:val="0"/>
                <w:i w:val="0"/>
                <w:sz w:val="16"/>
                <w:szCs w:val="16"/>
                <w:lang w:val="ro-RO"/>
              </w:rPr>
            </w:pPr>
            <w:r w:rsidRPr="00296998">
              <w:rPr>
                <w:rStyle w:val="85pt0"/>
                <w:rFonts w:ascii="Calibri" w:hAnsi="Calibri" w:cs="Calibri"/>
                <w:b w:val="0"/>
                <w:i w:val="0"/>
                <w:sz w:val="16"/>
                <w:szCs w:val="16"/>
                <w:lang w:val="ro-RO"/>
              </w:rPr>
              <w:t>3564/11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1D6881" w:rsidRDefault="001D6881" w:rsidP="0096126B">
            <w:pPr>
              <w:autoSpaceDE w:val="0"/>
              <w:autoSpaceDN w:val="0"/>
              <w:adjustRightInd w:val="0"/>
              <w:jc w:val="both"/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</w:pPr>
            <w:r w:rsidRPr="00296998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t>violarea art. 3 CEDO</w:t>
            </w:r>
            <w:r w:rsidRPr="001D6881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t xml:space="preserve"> – omisiunea autorităţilor de a proteja reclamantul de violenţa domestică (abuzuri</w:t>
            </w:r>
          </w:p>
          <w:p w:rsidR="001D6881" w:rsidRPr="001D6881" w:rsidRDefault="001D6881" w:rsidP="0096126B">
            <w:pPr>
              <w:autoSpaceDE w:val="0"/>
              <w:autoSpaceDN w:val="0"/>
              <w:adjustRightInd w:val="0"/>
              <w:jc w:val="both"/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</w:pPr>
            <w:r w:rsidRPr="001D6881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t xml:space="preserve">fizice şi verbale); </w:t>
            </w:r>
          </w:p>
          <w:p w:rsidR="001D6881" w:rsidRPr="001D6881" w:rsidRDefault="001D6881" w:rsidP="0096126B">
            <w:pPr>
              <w:autoSpaceDE w:val="0"/>
              <w:autoSpaceDN w:val="0"/>
              <w:adjustRightInd w:val="0"/>
              <w:jc w:val="both"/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</w:pPr>
            <w:r w:rsidRPr="00296998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t>violarea art. 8 CEDO</w:t>
            </w:r>
            <w:r w:rsidRPr="001D6881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t xml:space="preserve"> – omisiunea</w:t>
            </w:r>
          </w:p>
          <w:p w:rsidR="001D6881" w:rsidRPr="001D6881" w:rsidRDefault="001D6881" w:rsidP="0096126B">
            <w:pPr>
              <w:autoSpaceDE w:val="0"/>
              <w:autoSpaceDN w:val="0"/>
              <w:adjustRightInd w:val="0"/>
              <w:jc w:val="both"/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</w:pPr>
            <w:r w:rsidRPr="001D6881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t xml:space="preserve">autorităţilor de a proteja reclamantul de violenţa domestică (abuzuri verbale,asistarea la acte de violenţă îndreptate împotriva mamei lor); </w:t>
            </w:r>
          </w:p>
          <w:p w:rsidR="001D6881" w:rsidRPr="00296998" w:rsidRDefault="001D6881" w:rsidP="0096126B">
            <w:pPr>
              <w:autoSpaceDE w:val="0"/>
              <w:autoSpaceDN w:val="0"/>
              <w:adjustRightInd w:val="0"/>
              <w:jc w:val="both"/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</w:pPr>
            <w:r w:rsidRPr="00296998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t>violarea art. 14 CEDO combinat cu art. 3 CEDO</w:t>
            </w:r>
          </w:p>
          <w:p w:rsidR="001D6881" w:rsidRPr="001D6881" w:rsidRDefault="001D6881" w:rsidP="0096126B">
            <w:pPr>
              <w:autoSpaceDE w:val="0"/>
              <w:autoSpaceDN w:val="0"/>
              <w:adjustRightInd w:val="0"/>
              <w:jc w:val="both"/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</w:pPr>
            <w:r w:rsidRPr="001D6881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t>– tolerarea de către autorităţile naţionale a violenţei</w:t>
            </w:r>
          </w:p>
          <w:p w:rsidR="001D6881" w:rsidRPr="001D6881" w:rsidRDefault="001D6881" w:rsidP="0096126B">
            <w:pPr>
              <w:autoSpaceDE w:val="0"/>
              <w:autoSpaceDN w:val="0"/>
              <w:adjustRightInd w:val="0"/>
              <w:jc w:val="both"/>
              <w:rPr>
                <w:rStyle w:val="85pt"/>
                <w:rFonts w:ascii="Calibri" w:hAnsi="Calibri" w:cs="TT2Bo00"/>
                <w:b w:val="0"/>
                <w:bCs w:val="0"/>
                <w:color w:val="auto"/>
                <w:sz w:val="16"/>
                <w:szCs w:val="16"/>
                <w:u w:val="single"/>
                <w:lang w:val="ro-RO" w:eastAsia="en-GB"/>
              </w:rPr>
            </w:pPr>
            <w:r w:rsidRPr="001D6881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t xml:space="preserve">împotriva soţiei a reflectat atitudinea discriminatorie faţă </w:t>
            </w:r>
            <w:r w:rsidRPr="001D6881">
              <w:rPr>
                <w:rFonts w:ascii="Calibri" w:hAnsi="Calibri" w:cs="TT2Bo00"/>
                <w:sz w:val="16"/>
                <w:szCs w:val="16"/>
                <w:u w:val="single"/>
                <w:lang w:val="ro-RO" w:eastAsia="en-GB"/>
              </w:rPr>
              <w:lastRenderedPageBreak/>
              <w:t>de aceasta ca femeie.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296998" w:rsidRDefault="001D6881" w:rsidP="001D6881">
            <w:pPr>
              <w:pStyle w:val="1"/>
              <w:spacing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lastRenderedPageBreak/>
              <w:t>Suma totala - EUR 17,150</w:t>
            </w:r>
          </w:p>
          <w:p w:rsidR="001D6881" w:rsidRPr="001D6881" w:rsidRDefault="001D6881" w:rsidP="001D6881">
            <w:pPr>
              <w:pStyle w:val="1"/>
              <w:spacing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proofErr w:type="spellStart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moral - EUR 15,000</w:t>
            </w:r>
          </w:p>
          <w:p w:rsidR="001D6881" w:rsidRPr="001D6881" w:rsidRDefault="001D6881" w:rsidP="001D6881">
            <w:pPr>
              <w:pStyle w:val="1"/>
              <w:spacing w:line="189" w:lineRule="exact"/>
              <w:jc w:val="left"/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Cost. și </w:t>
            </w:r>
            <w:proofErr w:type="spellStart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chelt</w:t>
            </w:r>
            <w:proofErr w:type="spellEnd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- EUR 2,150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1" w:rsidRPr="00296998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Agresor familial –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Eremei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 Alexandru</w:t>
            </w:r>
          </w:p>
          <w:p w:rsidR="001D6881" w:rsidRPr="00296998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</w:p>
          <w:p w:rsidR="001D6881" w:rsidRPr="00296998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Colaboratorii de poliție care au sprijin agresorul</w:t>
            </w:r>
          </w:p>
          <w:p w:rsidR="001D6881" w:rsidRPr="001D6881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Vasile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Bragoi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, comisar CP Călărași</w:t>
            </w:r>
          </w:p>
          <w:p w:rsidR="001D6881" w:rsidRPr="001D6881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M.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Jacota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 inspector de sector</w:t>
            </w:r>
          </w:p>
          <w:p w:rsidR="001D6881" w:rsidRPr="001D6881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Dumitru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Volentir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, inspector de sector</w:t>
            </w:r>
          </w:p>
          <w:p w:rsidR="001D6881" w:rsidRPr="001D6881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Sergiu Lungu, inspector de sector</w:t>
            </w:r>
          </w:p>
          <w:p w:rsidR="001D6881" w:rsidRPr="001D6881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</w:p>
          <w:p w:rsidR="001D6881" w:rsidRPr="00296998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Procurorii care au refuzat atragerea la răspundere penală a agresorului</w:t>
            </w:r>
          </w:p>
          <w:p w:rsidR="001D6881" w:rsidRPr="001D6881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lastRenderedPageBreak/>
              <w:t xml:space="preserve">Vladimir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Martea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, procuror Călăraș</w:t>
            </w:r>
          </w:p>
          <w:p w:rsidR="001D6881" w:rsidRPr="001D6881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Igor Chiriac, procuror Călărași</w:t>
            </w:r>
          </w:p>
          <w:p w:rsidR="001D6881" w:rsidRPr="001D6881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Ion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Tețcu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, procuror Călărași</w:t>
            </w:r>
          </w:p>
          <w:p w:rsidR="001D6881" w:rsidRPr="001D6881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</w:p>
          <w:p w:rsidR="001D6881" w:rsidRPr="00296998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Asistenții sociali responsabili de declarații ce au dus la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incălcarea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 Art. 14 CEDO</w:t>
            </w:r>
          </w:p>
          <w:p w:rsidR="001D6881" w:rsidRPr="001D6881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Elena Otgon, asistent social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rl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 Călărași sat  Vălcineț</w:t>
            </w:r>
          </w:p>
          <w:p w:rsidR="001D6881" w:rsidRPr="001D6881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Lidia Stratan și Ion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Palitu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 din Direcția Asistență Socială Călărași  care au obligat-o pe dna Eremia să scrie că nu are pretenții la soțul său și nu a depus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plîngere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 la CEDO, avocata ei a făcut-o fără știrea sa.</w:t>
            </w:r>
          </w:p>
          <w:p w:rsidR="001D6881" w:rsidRPr="001D6881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</w:p>
          <w:p w:rsidR="001D6881" w:rsidRPr="001D6881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Primarul Alexandru Curmei sat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Vălcineș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 care a eliberat caracteristică agresorului familial conform căreia aceste este o fire liniștită și ”persoană normală”</w:t>
            </w:r>
          </w:p>
          <w:p w:rsidR="001D6881" w:rsidRPr="001D6881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</w:p>
          <w:p w:rsidR="001D6881" w:rsidRPr="001D6881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Judecătorii</w:t>
            </w: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CAChișinău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 care au anulat ordonanța de protecție din 09.12.2010</w:t>
            </w:r>
          </w:p>
          <w:p w:rsidR="001D6881" w:rsidRPr="001D6881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  <w:proofErr w:type="spellStart"/>
            <w:r w:rsidRPr="00E20651">
              <w:rPr>
                <w:rFonts w:ascii="Calibri" w:hAnsi="Calibri"/>
                <w:sz w:val="16"/>
                <w:szCs w:val="16"/>
                <w:highlight w:val="yellow"/>
                <w:u w:val="single"/>
                <w:lang w:val="ro-RO"/>
              </w:rPr>
              <w:t>Nelea</w:t>
            </w:r>
            <w:proofErr w:type="spellEnd"/>
            <w:r w:rsidRPr="00E20651">
              <w:rPr>
                <w:rFonts w:ascii="Calibri" w:hAnsi="Calibri"/>
                <w:sz w:val="16"/>
                <w:szCs w:val="16"/>
                <w:highlight w:val="yellow"/>
                <w:u w:val="single"/>
                <w:lang w:val="ro-RO"/>
              </w:rPr>
              <w:t xml:space="preserve"> Budăi</w:t>
            </w:r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,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Liudmila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Popova</w:t>
            </w:r>
            <w:proofErr w:type="spellEnd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 și Maria </w:t>
            </w:r>
            <w:proofErr w:type="spellStart"/>
            <w:r w:rsidRPr="001D6881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Guzun</w:t>
            </w:r>
            <w:proofErr w:type="spellEnd"/>
          </w:p>
          <w:p w:rsidR="001D6881" w:rsidRPr="001D6881" w:rsidRDefault="001D6881" w:rsidP="0096126B">
            <w:pPr>
              <w:rPr>
                <w:rFonts w:ascii="Calibri" w:hAnsi="Calibri"/>
                <w:sz w:val="16"/>
                <w:szCs w:val="16"/>
                <w:u w:val="single"/>
                <w:lang w:val="ro-RO"/>
              </w:rPr>
            </w:pPr>
          </w:p>
        </w:tc>
      </w:tr>
    </w:tbl>
    <w:p w:rsidR="000B5735" w:rsidRDefault="00E20651"/>
    <w:sectPr w:rsidR="000B5735" w:rsidSect="009F6F82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2B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6F82"/>
    <w:rsid w:val="00000B9F"/>
    <w:rsid w:val="00001683"/>
    <w:rsid w:val="00001B88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6881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3BD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9F6F82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0651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9F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9F6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9F6F82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F6F82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table" w:styleId="TableGrid">
    <w:name w:val="Table Grid"/>
    <w:basedOn w:val="TableNormal"/>
    <w:rsid w:val="001D6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D6881"/>
    <w:pPr>
      <w:spacing w:before="100" w:beforeAutospacing="1" w:after="100" w:afterAutospacing="1"/>
    </w:pPr>
    <w:rPr>
      <w:lang w:val="ru-RU" w:eastAsia="ru-RU"/>
    </w:rPr>
  </w:style>
  <w:style w:type="character" w:customStyle="1" w:styleId="normal--char">
    <w:name w:val="normal--char"/>
    <w:basedOn w:val="DefaultParagraphFont"/>
    <w:rsid w:val="001D6881"/>
  </w:style>
  <w:style w:type="character" w:styleId="Strong">
    <w:name w:val="Strong"/>
    <w:basedOn w:val="DefaultParagraphFont"/>
    <w:qFormat/>
    <w:rsid w:val="001D6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951D3-A9BD-49BB-9E68-9351B45C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2</cp:revision>
  <dcterms:created xsi:type="dcterms:W3CDTF">2014-04-08T11:43:00Z</dcterms:created>
  <dcterms:modified xsi:type="dcterms:W3CDTF">2014-04-08T12:12:00Z</dcterms:modified>
</cp:coreProperties>
</file>