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1A" w:rsidRPr="008D728A" w:rsidRDefault="002D4D1A" w:rsidP="002D4D1A">
      <w:pPr>
        <w:ind w:left="-900" w:right="-90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D728A">
        <w:rPr>
          <w:rFonts w:ascii="Times New Roman" w:hAnsi="Times New Roman" w:cs="Times New Roman"/>
          <w:color w:val="000000"/>
          <w:sz w:val="20"/>
          <w:szCs w:val="20"/>
          <w:lang w:val="ro-RO"/>
        </w:rPr>
        <w:br/>
      </w:r>
      <w:r w:rsidRPr="008D728A">
        <w:rPr>
          <w:rFonts w:ascii="Times New Roman" w:hAnsi="Times New Roman" w:cs="Times New Roman"/>
          <w:b/>
          <w:sz w:val="20"/>
          <w:szCs w:val="20"/>
          <w:lang w:val="ro-RO"/>
        </w:rPr>
        <w:t>LISTA PERSOANELOR RESPONSABILE DE CONDAMNAREA MOLDOVEI DE CĂTRE</w:t>
      </w:r>
    </w:p>
    <w:p w:rsidR="002D4D1A" w:rsidRPr="008D728A" w:rsidRDefault="002D4D1A" w:rsidP="002D4D1A">
      <w:pPr>
        <w:ind w:left="-900" w:right="-90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D728A">
        <w:rPr>
          <w:rFonts w:ascii="Times New Roman" w:hAnsi="Times New Roman" w:cs="Times New Roman"/>
          <w:b/>
          <w:sz w:val="20"/>
          <w:szCs w:val="20"/>
          <w:lang w:val="ro-RO"/>
        </w:rPr>
        <w:t>CURTEA EUROPEANĂ A DREPTURILOR OMULUI</w:t>
      </w:r>
    </w:p>
    <w:p w:rsidR="002D4D1A" w:rsidRPr="008D728A" w:rsidRDefault="002D4D1A" w:rsidP="002D4D1A">
      <w:pPr>
        <w:tabs>
          <w:tab w:val="left" w:pos="11062"/>
        </w:tabs>
        <w:ind w:left="9180" w:right="-900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2D4D1A" w:rsidRPr="008D728A" w:rsidRDefault="002D4D1A" w:rsidP="002D4D1A">
      <w:pPr>
        <w:ind w:left="9180" w:right="-90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8D728A">
        <w:rPr>
          <w:rFonts w:ascii="Times New Roman" w:hAnsi="Times New Roman" w:cs="Times New Roman"/>
          <w:sz w:val="20"/>
          <w:szCs w:val="20"/>
          <w:lang w:val="ro-RO"/>
        </w:rPr>
        <w:t>Chişinău, ianuarie 2018</w:t>
      </w:r>
    </w:p>
    <w:p w:rsidR="002D4D1A" w:rsidRPr="008D728A" w:rsidRDefault="002D4D1A" w:rsidP="002D4D1A">
      <w:pPr>
        <w:ind w:right="-90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2D4D1A" w:rsidRPr="008D728A" w:rsidRDefault="002D4D1A" w:rsidP="002D4D1A">
      <w:pPr>
        <w:jc w:val="center"/>
        <w:rPr>
          <w:rFonts w:ascii="Times New Roman" w:hAnsi="Times New Roman" w:cs="Times New Roman"/>
          <w:sz w:val="20"/>
          <w:szCs w:val="20"/>
        </w:rPr>
      </w:pPr>
      <w:r w:rsidRPr="008D728A">
        <w:rPr>
          <w:rFonts w:ascii="Times New Roman" w:hAnsi="Times New Roman" w:cs="Times New Roman"/>
          <w:b/>
          <w:sz w:val="20"/>
          <w:szCs w:val="20"/>
          <w:lang w:val="ro-RO"/>
        </w:rPr>
        <w:t>Hotărârile</w:t>
      </w:r>
      <w:r w:rsidRPr="008D728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8D728A">
        <w:rPr>
          <w:rFonts w:ascii="Times New Roman" w:hAnsi="Times New Roman" w:cs="Times New Roman"/>
          <w:b/>
          <w:sz w:val="20"/>
          <w:szCs w:val="20"/>
          <w:lang w:val="ro-RO"/>
        </w:rPr>
        <w:t>Curţii Europene a Drepturilor Omului pe marginea cererilor depuse împotriva Republicii Moldova</w:t>
      </w:r>
      <w:r w:rsidRPr="008D728A">
        <w:rPr>
          <w:rFonts w:ascii="Times New Roman" w:hAnsi="Times New Roman" w:cs="Times New Roman"/>
          <w:b/>
          <w:sz w:val="20"/>
          <w:szCs w:val="20"/>
          <w:lang w:val="ro-RO"/>
        </w:rPr>
        <w:br/>
      </w:r>
      <w:r w:rsidRPr="008D728A">
        <w:rPr>
          <w:rFonts w:ascii="Times New Roman" w:hAnsi="Times New Roman" w:cs="Times New Roman"/>
          <w:b/>
          <w:sz w:val="20"/>
          <w:szCs w:val="20"/>
          <w:lang w:val="ro-RO"/>
        </w:rPr>
        <w:br/>
      </w:r>
    </w:p>
    <w:tbl>
      <w:tblPr>
        <w:tblW w:w="1539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080"/>
        <w:gridCol w:w="1171"/>
        <w:gridCol w:w="5129"/>
        <w:gridCol w:w="1890"/>
        <w:gridCol w:w="4501"/>
      </w:tblGrid>
      <w:tr w:rsidR="002D4D1A" w:rsidRPr="008D728A" w:rsidTr="00286DF3">
        <w:tc>
          <w:tcPr>
            <w:tcW w:w="1619" w:type="dxa"/>
          </w:tcPr>
          <w:p w:rsidR="002D4D1A" w:rsidRPr="008D728A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cererii</w:t>
            </w:r>
          </w:p>
        </w:tc>
        <w:tc>
          <w:tcPr>
            <w:tcW w:w="1080" w:type="dxa"/>
          </w:tcPr>
          <w:p w:rsidR="002D4D1A" w:rsidRPr="008D728A" w:rsidRDefault="00A65AAD" w:rsidP="007B0BE0">
            <w:pPr>
              <w:ind w:left="-144" w:righ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sz w:val="20"/>
                <w:szCs w:val="20"/>
              </w:rPr>
              <w:t xml:space="preserve">Data </w:t>
            </w:r>
            <w:proofErr w:type="spellStart"/>
            <w:r w:rsidRPr="008D728A">
              <w:rPr>
                <w:sz w:val="20"/>
                <w:szCs w:val="20"/>
              </w:rPr>
              <w:t>adoptării</w:t>
            </w:r>
            <w:proofErr w:type="spellEnd"/>
            <w:r w:rsidRPr="008D728A">
              <w:rPr>
                <w:sz w:val="20"/>
                <w:szCs w:val="20"/>
              </w:rPr>
              <w:t xml:space="preserve"> / data </w:t>
            </w:r>
            <w:proofErr w:type="spellStart"/>
            <w:r w:rsidRPr="008D728A">
              <w:rPr>
                <w:sz w:val="20"/>
                <w:szCs w:val="20"/>
              </w:rPr>
              <w:t>intrării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în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vigoare</w:t>
            </w:r>
            <w:proofErr w:type="spellEnd"/>
          </w:p>
        </w:tc>
        <w:tc>
          <w:tcPr>
            <w:tcW w:w="1171" w:type="dxa"/>
          </w:tcPr>
          <w:p w:rsidR="002D4D1A" w:rsidRPr="008D728A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Numărul cererii</w:t>
            </w:r>
          </w:p>
        </w:tc>
        <w:tc>
          <w:tcPr>
            <w:tcW w:w="5129" w:type="dxa"/>
          </w:tcPr>
          <w:p w:rsidR="002D4D1A" w:rsidRPr="008D728A" w:rsidRDefault="002D4D1A" w:rsidP="007B0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rFonts w:ascii="Calibri" w:hAnsi="Calibri"/>
                <w:b/>
                <w:sz w:val="20"/>
                <w:szCs w:val="20"/>
                <w:lang w:val="ro-RO"/>
              </w:rPr>
              <w:t>Violările constatate</w:t>
            </w:r>
          </w:p>
        </w:tc>
        <w:tc>
          <w:tcPr>
            <w:tcW w:w="1890" w:type="dxa"/>
          </w:tcPr>
          <w:p w:rsidR="00D30A70" w:rsidRPr="008D728A" w:rsidRDefault="002D4D1A" w:rsidP="007B0BE0">
            <w:pPr>
              <w:ind w:left="-108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Preju</w:t>
            </w:r>
          </w:p>
          <w:p w:rsidR="002D4D1A" w:rsidRPr="008D728A" w:rsidRDefault="002D4D1A" w:rsidP="007B0BE0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diciul moral</w:t>
            </w:r>
          </w:p>
        </w:tc>
        <w:tc>
          <w:tcPr>
            <w:tcW w:w="4501" w:type="dxa"/>
          </w:tcPr>
          <w:p w:rsidR="002D4D1A" w:rsidRPr="008D728A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</w:t>
            </w:r>
            <w:r w:rsidRPr="008D728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ersoanele </w:t>
            </w:r>
            <w:r w:rsidRPr="008D728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responsabile de condamnare</w:t>
            </w:r>
            <w:r w:rsidRPr="008D728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br/>
            </w:r>
            <w:r w:rsidRPr="008D728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(conform funcţiei la ziua comiterii abaterii)</w:t>
            </w:r>
          </w:p>
        </w:tc>
      </w:tr>
      <w:tr w:rsidR="002D4D1A" w:rsidRPr="008D728A" w:rsidTr="00286DF3">
        <w:tc>
          <w:tcPr>
            <w:tcW w:w="1619" w:type="dxa"/>
          </w:tcPr>
          <w:p w:rsidR="002D4D1A" w:rsidRPr="008D728A" w:rsidRDefault="00B15ABC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 w:cs="Calibri"/>
                <w:b/>
                <w:sz w:val="20"/>
                <w:szCs w:val="20"/>
                <w:lang w:val="ro-RO"/>
              </w:rPr>
              <w:t>MITROFAN c. Moldovei</w:t>
            </w:r>
          </w:p>
        </w:tc>
        <w:tc>
          <w:tcPr>
            <w:tcW w:w="1080" w:type="dxa"/>
          </w:tcPr>
          <w:p w:rsidR="002D4D1A" w:rsidRPr="008D728A" w:rsidRDefault="00B15ABC" w:rsidP="007B0BE0">
            <w:pPr>
              <w:ind w:left="-144" w:righ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rFonts w:ascii="Calibri" w:hAnsi="Calibri" w:cs="Calibri"/>
                <w:sz w:val="20"/>
                <w:szCs w:val="20"/>
                <w:lang w:val="ro-RO"/>
              </w:rPr>
              <w:t>15/01/2013</w:t>
            </w:r>
          </w:p>
        </w:tc>
        <w:tc>
          <w:tcPr>
            <w:tcW w:w="1171" w:type="dxa"/>
          </w:tcPr>
          <w:p w:rsidR="002D4D1A" w:rsidRPr="008D728A" w:rsidRDefault="00B15ABC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ro-RO"/>
              </w:rPr>
              <w:t>50054/07</w:t>
            </w:r>
          </w:p>
        </w:tc>
        <w:tc>
          <w:tcPr>
            <w:tcW w:w="5129" w:type="dxa"/>
          </w:tcPr>
          <w:p w:rsidR="00B15ABC" w:rsidRPr="008D728A" w:rsidRDefault="00B15ABC" w:rsidP="00B15ABC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Calibri" w:hAnsi="Calibri" w:cs="Calibri"/>
                <w:bCs/>
                <w:color w:val="000000"/>
                <w:sz w:val="20"/>
                <w:szCs w:val="20"/>
                <w:u w:val="single"/>
                <w:lang w:val="ro-RO"/>
              </w:rPr>
              <w:t>violarea art. 3 CEDO</w:t>
            </w:r>
            <w:r w:rsidRPr="008D728A">
              <w:rPr>
                <w:rFonts w:ascii="Calibri" w:hAnsi="Calibri" w:cs="Calibri"/>
                <w:bCs/>
                <w:color w:val="000000"/>
                <w:sz w:val="20"/>
                <w:szCs w:val="20"/>
                <w:lang w:val="ro-RO"/>
              </w:rPr>
              <w:t xml:space="preserve"> – detenția reclamantului în condiții inumane.</w:t>
            </w:r>
          </w:p>
          <w:p w:rsidR="00B15ABC" w:rsidRPr="008D728A" w:rsidRDefault="00B15ABC" w:rsidP="00B15ABC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Calibri" w:hAnsi="Calibri" w:cs="Calibri"/>
                <w:bCs/>
                <w:color w:val="000000"/>
                <w:sz w:val="20"/>
                <w:szCs w:val="20"/>
                <w:u w:val="single"/>
                <w:lang w:val="ro-RO"/>
              </w:rPr>
              <w:t>violarea art. 6.1 CEDO</w:t>
            </w:r>
            <w:r w:rsidRPr="008D728A">
              <w:rPr>
                <w:rFonts w:ascii="Calibri" w:hAnsi="Calibri" w:cs="Calibri"/>
                <w:bCs/>
                <w:color w:val="000000"/>
                <w:sz w:val="20"/>
                <w:szCs w:val="20"/>
                <w:lang w:val="ro-RO"/>
              </w:rPr>
              <w:t xml:space="preserve"> – dreptul la un proces echitabil.</w:t>
            </w:r>
          </w:p>
          <w:p w:rsidR="00B15ABC" w:rsidRPr="008D728A" w:rsidRDefault="00B15ABC" w:rsidP="00B15ABC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Calibri" w:hAnsi="Calibri" w:cs="Calibri"/>
                <w:bCs/>
                <w:color w:val="000000"/>
                <w:sz w:val="20"/>
                <w:szCs w:val="20"/>
                <w:u w:val="single"/>
                <w:lang w:val="ro-RO"/>
              </w:rPr>
              <w:t>violarea art. 13 CEDO – lipsa unui remediu efectiv.</w:t>
            </w:r>
          </w:p>
          <w:p w:rsidR="002D4D1A" w:rsidRPr="008D728A" w:rsidRDefault="002D4D1A" w:rsidP="007B0BE0">
            <w:pPr>
              <w:jc w:val="center"/>
              <w:rPr>
                <w:rFonts w:ascii="Calibri" w:hAnsi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</w:tcPr>
          <w:p w:rsidR="00B15ABC" w:rsidRPr="008D728A" w:rsidRDefault="00B15ABC" w:rsidP="00B15ABC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ro-RO"/>
              </w:rPr>
              <w:t>Suma totala - EUR 6,500</w:t>
            </w:r>
          </w:p>
          <w:p w:rsidR="00B15ABC" w:rsidRPr="008D728A" w:rsidRDefault="00B15ABC" w:rsidP="00B15ABC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sz w:val="20"/>
                <w:szCs w:val="20"/>
                <w:lang w:val="ro-RO"/>
              </w:rPr>
            </w:pPr>
            <w:r w:rsidRPr="008D72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ro-RO"/>
              </w:rPr>
              <w:t>Prejud. moral - EUR 5,000</w:t>
            </w:r>
          </w:p>
          <w:p w:rsidR="002D4D1A" w:rsidRPr="008D728A" w:rsidRDefault="00B15ABC" w:rsidP="00B15ABC">
            <w:pPr>
              <w:ind w:left="-108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rFonts w:ascii="Calibri" w:hAnsi="Calibri" w:cs="Calibri"/>
                <w:bCs/>
                <w:color w:val="000000"/>
                <w:sz w:val="20"/>
                <w:szCs w:val="20"/>
                <w:lang w:val="ro-RO"/>
              </w:rPr>
              <w:t>Cost. și chelt. - EUR 1,500</w:t>
            </w:r>
          </w:p>
        </w:tc>
        <w:tc>
          <w:tcPr>
            <w:tcW w:w="4501" w:type="dxa"/>
          </w:tcPr>
          <w:p w:rsidR="00B15ABC" w:rsidRPr="008D728A" w:rsidRDefault="00B15ABC" w:rsidP="00B15ABC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8D728A">
              <w:rPr>
                <w:rFonts w:ascii="Calibri" w:hAnsi="Calibri" w:cs="Calibri"/>
                <w:sz w:val="20"/>
                <w:szCs w:val="20"/>
                <w:lang w:val="ro-RO"/>
              </w:rPr>
              <w:t>Hotărârea Judecătoriei Grigoriopol din 20.11.2006 privind achitarea reclamantului pe art. 352 alin. (2) și condamnarea pe art. 190 alin. (2) la 3 ani privațiune de libertate.</w:t>
            </w:r>
          </w:p>
          <w:p w:rsidR="00B15ABC" w:rsidRPr="008D728A" w:rsidRDefault="00B15ABC" w:rsidP="00B15ABC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8D728A">
              <w:rPr>
                <w:rFonts w:ascii="Calibri" w:hAnsi="Calibri" w:cs="Calibri"/>
                <w:sz w:val="20"/>
                <w:szCs w:val="20"/>
                <w:u w:val="single"/>
                <w:lang w:val="ro-RO"/>
              </w:rPr>
              <w:t>Judecător</w:t>
            </w:r>
            <w:r w:rsidRPr="008D728A">
              <w:rPr>
                <w:rFonts w:ascii="Calibri" w:hAnsi="Calibri" w:cs="Calibri"/>
                <w:sz w:val="20"/>
                <w:szCs w:val="20"/>
                <w:lang w:val="ro-RO"/>
              </w:rPr>
              <w:t>: Nicolae Costin</w:t>
            </w:r>
          </w:p>
          <w:p w:rsidR="00B15ABC" w:rsidRPr="008D728A" w:rsidRDefault="00B15ABC" w:rsidP="00B15ABC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  <w:p w:rsidR="00B15ABC" w:rsidRPr="008D728A" w:rsidRDefault="00B15ABC" w:rsidP="00B15ABC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8D728A">
              <w:rPr>
                <w:rFonts w:ascii="Calibri" w:hAnsi="Calibri" w:cs="Calibri"/>
                <w:sz w:val="20"/>
                <w:szCs w:val="20"/>
                <w:lang w:val="ro-RO"/>
              </w:rPr>
              <w:t>Decizia Curții de Apel Chișinău din 08.02.2007 privind admiterea parțială a apelului, recalificând fapta drept neglijență în serviciu și fiind condamnat la 8 luni închisoare și privarea dreptului de a ocupa funcții de conducere pe un termen de 2 ani.</w:t>
            </w:r>
          </w:p>
          <w:p w:rsidR="00B15ABC" w:rsidRPr="008D728A" w:rsidRDefault="00B15ABC" w:rsidP="00B15ABC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8D728A">
              <w:rPr>
                <w:rFonts w:ascii="Calibri" w:hAnsi="Calibri" w:cs="Calibri"/>
                <w:sz w:val="20"/>
                <w:szCs w:val="20"/>
                <w:u w:val="single"/>
                <w:lang w:val="ro-RO"/>
              </w:rPr>
              <w:t>Judecător</w:t>
            </w:r>
            <w:r w:rsidRPr="008D728A">
              <w:rPr>
                <w:rFonts w:ascii="Calibri" w:hAnsi="Calibri" w:cs="Calibri"/>
                <w:sz w:val="20"/>
                <w:szCs w:val="20"/>
                <w:lang w:val="ro-RO"/>
              </w:rPr>
              <w:t xml:space="preserve">i: Țurcan Anatolie, Iovu Gheorghe, </w:t>
            </w:r>
            <w:r w:rsidRPr="008D728A">
              <w:rPr>
                <w:rFonts w:ascii="Garamond" w:hAnsi="Garamond" w:cs="Calibri"/>
                <w:sz w:val="20"/>
                <w:szCs w:val="20"/>
                <w:highlight w:val="yellow"/>
                <w:lang w:val="ro-RO"/>
              </w:rPr>
              <w:t>CATAN Liliana.</w:t>
            </w:r>
          </w:p>
          <w:p w:rsidR="00B15ABC" w:rsidRPr="008D728A" w:rsidRDefault="00B15ABC" w:rsidP="00B15ABC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  <w:p w:rsidR="00B15ABC" w:rsidRPr="008D728A" w:rsidRDefault="00B15ABC" w:rsidP="00B15ABC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8D728A">
              <w:rPr>
                <w:rFonts w:ascii="Calibri" w:hAnsi="Calibri" w:cs="Calibri"/>
                <w:sz w:val="20"/>
                <w:szCs w:val="20"/>
                <w:lang w:val="ro-RO"/>
              </w:rPr>
              <w:lastRenderedPageBreak/>
              <w:t>Decizia Curții Supreme de Justiție din 28.06.2007 privind casarea Hotărârii Curții de Apel Chișinău și emiterea unei noi hotărâri înlocuind pedeapsa închisorii  cu amenda.</w:t>
            </w:r>
          </w:p>
          <w:p w:rsidR="00B15ABC" w:rsidRPr="008D728A" w:rsidRDefault="00B15ABC" w:rsidP="00B15ABC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8D728A">
              <w:rPr>
                <w:rFonts w:ascii="Calibri" w:hAnsi="Calibri" w:cs="Calibri"/>
                <w:sz w:val="20"/>
                <w:szCs w:val="20"/>
                <w:u w:val="single"/>
                <w:lang w:val="ro-RO"/>
              </w:rPr>
              <w:t>Judecători</w:t>
            </w:r>
            <w:r w:rsidRPr="008D728A">
              <w:rPr>
                <w:rFonts w:ascii="Calibri" w:hAnsi="Calibri" w:cs="Calibri"/>
                <w:sz w:val="20"/>
                <w:szCs w:val="20"/>
                <w:lang w:val="ro-RO"/>
              </w:rPr>
              <w:t>: Andrei Harghel, Olga Adam, Sergiu Furdui, Constantin Alerguș, Petru Ursache</w:t>
            </w:r>
          </w:p>
          <w:p w:rsidR="002D4D1A" w:rsidRPr="008D728A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74396" w:rsidRPr="008D728A" w:rsidTr="00286DF3">
        <w:tc>
          <w:tcPr>
            <w:tcW w:w="1619" w:type="dxa"/>
          </w:tcPr>
          <w:p w:rsidR="00474396" w:rsidRPr="00FB0880" w:rsidRDefault="00474396" w:rsidP="00474396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2D680B">
              <w:rPr>
                <w:b/>
              </w:rPr>
              <w:lastRenderedPageBreak/>
              <w:t xml:space="preserve">O.R. </w:t>
            </w:r>
            <w:proofErr w:type="spellStart"/>
            <w:r w:rsidRPr="002D680B">
              <w:rPr>
                <w:b/>
              </w:rPr>
              <w:t>și</w:t>
            </w:r>
            <w:proofErr w:type="spellEnd"/>
            <w:r w:rsidRPr="002D680B">
              <w:rPr>
                <w:b/>
              </w:rPr>
              <w:t xml:space="preserve"> L.R.</w:t>
            </w:r>
            <w:r>
              <w:t xml:space="preserve"> </w:t>
            </w:r>
            <w:r w:rsidRPr="00FB0880">
              <w:rPr>
                <w:rFonts w:cstheme="minorHAnsi"/>
                <w:b/>
                <w:sz w:val="20"/>
                <w:szCs w:val="20"/>
              </w:rPr>
              <w:t xml:space="preserve">contra </w:t>
            </w:r>
            <w:proofErr w:type="spellStart"/>
            <w:r w:rsidRPr="00FB0880">
              <w:rPr>
                <w:rFonts w:cstheme="minorHAnsi"/>
                <w:b/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1080" w:type="dxa"/>
          </w:tcPr>
          <w:p w:rsidR="00474396" w:rsidRPr="00FB0880" w:rsidRDefault="00474396" w:rsidP="00474396">
            <w:pPr>
              <w:ind w:left="-144" w:right="-108"/>
              <w:rPr>
                <w:rFonts w:cstheme="minorHAnsi"/>
                <w:b/>
                <w:sz w:val="20"/>
                <w:szCs w:val="20"/>
                <w:lang w:val="ro-RO"/>
              </w:rPr>
            </w:pPr>
            <w:r>
              <w:t>30.10.2018 30.01.2019</w:t>
            </w:r>
          </w:p>
        </w:tc>
        <w:tc>
          <w:tcPr>
            <w:tcW w:w="1171" w:type="dxa"/>
          </w:tcPr>
          <w:p w:rsidR="00474396" w:rsidRPr="00FB0880" w:rsidRDefault="00474396" w:rsidP="00474396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>
              <w:t>24129/11</w:t>
            </w:r>
          </w:p>
        </w:tc>
        <w:tc>
          <w:tcPr>
            <w:tcW w:w="5129" w:type="dxa"/>
          </w:tcPr>
          <w:p w:rsidR="00474396" w:rsidRPr="00FB0880" w:rsidRDefault="00474396" w:rsidP="00474396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t>Invocând</w:t>
            </w:r>
            <w:proofErr w:type="spellEnd"/>
            <w:r>
              <w:t xml:space="preserve"> </w:t>
            </w:r>
            <w:proofErr w:type="spellStart"/>
            <w:r>
              <w:t>Articolul</w:t>
            </w:r>
            <w:proofErr w:type="spellEnd"/>
            <w:r>
              <w:t xml:space="preserve"> 3 din </w:t>
            </w:r>
            <w:proofErr w:type="spellStart"/>
            <w:r>
              <w:t>Convenție</w:t>
            </w:r>
            <w:proofErr w:type="spellEnd"/>
            <w:r>
              <w:t xml:space="preserve">, </w:t>
            </w:r>
            <w:proofErr w:type="spellStart"/>
            <w:r>
              <w:t>reclamantele</w:t>
            </w:r>
            <w:proofErr w:type="spellEnd"/>
            <w:r>
              <w:t xml:space="preserve"> s-au </w:t>
            </w:r>
            <w:proofErr w:type="spellStart"/>
            <w:r>
              <w:t>plâns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fața</w:t>
            </w:r>
            <w:proofErr w:type="spellEnd"/>
            <w:r>
              <w:t xml:space="preserve"> </w:t>
            </w:r>
            <w:proofErr w:type="spellStart"/>
            <w:r>
              <w:t>Curții</w:t>
            </w:r>
            <w:proofErr w:type="spellEnd"/>
            <w:r>
              <w:t xml:space="preserve"> de </w:t>
            </w:r>
            <w:proofErr w:type="spellStart"/>
            <w:r>
              <w:t>relele</w:t>
            </w:r>
            <w:proofErr w:type="spellEnd"/>
            <w:r>
              <w:t xml:space="preserve"> </w:t>
            </w:r>
            <w:proofErr w:type="spellStart"/>
            <w:r>
              <w:t>tratamente</w:t>
            </w:r>
            <w:proofErr w:type="spellEnd"/>
            <w:r>
              <w:t xml:space="preserve"> la care au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supuse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polițiști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incinta</w:t>
            </w:r>
            <w:proofErr w:type="spellEnd"/>
            <w:r>
              <w:t xml:space="preserve"> </w:t>
            </w:r>
            <w:proofErr w:type="spellStart"/>
            <w:r>
              <w:t>Comisariatului</w:t>
            </w:r>
            <w:proofErr w:type="spellEnd"/>
            <w:r>
              <w:t xml:space="preserve"> General de </w:t>
            </w:r>
            <w:proofErr w:type="spellStart"/>
            <w:r>
              <w:t>Poliție</w:t>
            </w:r>
            <w:proofErr w:type="spellEnd"/>
            <w:r>
              <w:t xml:space="preserve"> din </w:t>
            </w:r>
            <w:proofErr w:type="spellStart"/>
            <w:r>
              <w:t>mun</w:t>
            </w:r>
            <w:proofErr w:type="spellEnd"/>
            <w:r>
              <w:t xml:space="preserve">, </w:t>
            </w:r>
            <w:proofErr w:type="spellStart"/>
            <w:r>
              <w:t>Chișinău</w:t>
            </w:r>
            <w:proofErr w:type="spellEnd"/>
            <w:r>
              <w:t xml:space="preserve"> la 7 </w:t>
            </w:r>
            <w:proofErr w:type="spellStart"/>
            <w:r>
              <w:t>aprilie</w:t>
            </w:r>
            <w:proofErr w:type="spellEnd"/>
            <w:r>
              <w:t xml:space="preserve"> 2009,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obligarea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se </w:t>
            </w:r>
            <w:proofErr w:type="spellStart"/>
            <w:r>
              <w:t>dezbrace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facă</w:t>
            </w:r>
            <w:proofErr w:type="spellEnd"/>
            <w:r>
              <w:t xml:space="preserve"> </w:t>
            </w:r>
            <w:proofErr w:type="spellStart"/>
            <w:r>
              <w:t>așezări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fața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multor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, </w:t>
            </w:r>
            <w:proofErr w:type="spellStart"/>
            <w:r>
              <w:t>precum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investigații</w:t>
            </w:r>
            <w:proofErr w:type="spellEnd"/>
            <w:r>
              <w:t xml:space="preserve"> </w:t>
            </w:r>
            <w:proofErr w:type="spellStart"/>
            <w:r>
              <w:t>prompte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  <w:r>
              <w:t xml:space="preserve">, </w:t>
            </w:r>
            <w:proofErr w:type="spellStart"/>
            <w:r>
              <w:t>polițiștii</w:t>
            </w:r>
            <w:proofErr w:type="spellEnd"/>
            <w:r>
              <w:t xml:space="preserve"> </w:t>
            </w:r>
            <w:proofErr w:type="spellStart"/>
            <w:r>
              <w:t>fiind</w:t>
            </w:r>
            <w:proofErr w:type="spellEnd"/>
            <w:r>
              <w:t xml:space="preserve"> </w:t>
            </w:r>
            <w:proofErr w:type="spellStart"/>
            <w:r>
              <w:t>scutiți</w:t>
            </w:r>
            <w:proofErr w:type="spellEnd"/>
            <w:r>
              <w:t xml:space="preserve"> de </w:t>
            </w:r>
            <w:proofErr w:type="spellStart"/>
            <w:r>
              <w:t>pedeapsă</w:t>
            </w:r>
            <w:proofErr w:type="spellEnd"/>
            <w:r>
              <w:t>.</w:t>
            </w:r>
            <w:proofErr w:type="gramEnd"/>
          </w:p>
        </w:tc>
        <w:tc>
          <w:tcPr>
            <w:tcW w:w="1890" w:type="dxa"/>
          </w:tcPr>
          <w:p w:rsidR="00474396" w:rsidRPr="00FB0880" w:rsidRDefault="00474396" w:rsidP="00474396">
            <w:pPr>
              <w:ind w:left="-108"/>
              <w:rPr>
                <w:rFonts w:cstheme="minorHAnsi"/>
                <w:b/>
                <w:sz w:val="20"/>
                <w:szCs w:val="20"/>
                <w:lang w:val="ro-RO"/>
              </w:rPr>
            </w:pPr>
            <w:proofErr w:type="gramStart"/>
            <w:r>
              <w:t>7500 euro</w:t>
            </w:r>
            <w:proofErr w:type="gram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prejudiciul</w:t>
            </w:r>
            <w:proofErr w:type="spellEnd"/>
            <w:r>
              <w:t xml:space="preserve"> moral </w:t>
            </w:r>
            <w:proofErr w:type="spellStart"/>
            <w:r>
              <w:t>și</w:t>
            </w:r>
            <w:proofErr w:type="spellEnd"/>
            <w:r>
              <w:t xml:space="preserve"> 1500 euro cu </w:t>
            </w:r>
            <w:proofErr w:type="spellStart"/>
            <w:r>
              <w:t>titlu</w:t>
            </w:r>
            <w:proofErr w:type="spellEnd"/>
            <w:r>
              <w:t xml:space="preserve"> de </w:t>
            </w:r>
            <w:proofErr w:type="spellStart"/>
            <w:r>
              <w:t>costuri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>.</w:t>
            </w:r>
          </w:p>
        </w:tc>
        <w:tc>
          <w:tcPr>
            <w:tcW w:w="4501" w:type="dxa"/>
          </w:tcPr>
          <w:p w:rsidR="00474396" w:rsidRDefault="00474396" w:rsidP="00474396">
            <w:r w:rsidRPr="00075D14">
              <w:t xml:space="preserve">Andrei </w:t>
            </w:r>
            <w:proofErr w:type="spellStart"/>
            <w:r w:rsidRPr="00075D14">
              <w:t>Roșca</w:t>
            </w:r>
            <w:proofErr w:type="spellEnd"/>
            <w:r w:rsidRPr="00075D14">
              <w:t>,</w:t>
            </w:r>
            <w:r>
              <w:t xml:space="preserve"> </w:t>
            </w:r>
            <w:proofErr w:type="spellStart"/>
            <w:r>
              <w:t>procuror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Procuratura</w:t>
            </w:r>
            <w:proofErr w:type="spellEnd"/>
            <w:r>
              <w:t xml:space="preserve"> </w:t>
            </w:r>
            <w:proofErr w:type="spellStart"/>
            <w:r>
              <w:t>mun</w:t>
            </w:r>
            <w:proofErr w:type="spellEnd"/>
            <w:r>
              <w:t xml:space="preserve">. </w:t>
            </w:r>
            <w:proofErr w:type="spellStart"/>
            <w:r>
              <w:t>Chișinău</w:t>
            </w:r>
            <w:proofErr w:type="spellEnd"/>
            <w:r>
              <w:t xml:space="preserve"> (</w:t>
            </w:r>
            <w:proofErr w:type="spellStart"/>
            <w:r>
              <w:t>Ordonanța</w:t>
            </w:r>
            <w:proofErr w:type="spellEnd"/>
            <w:r>
              <w:t xml:space="preserve"> de </w:t>
            </w:r>
            <w:proofErr w:type="spellStart"/>
            <w:r>
              <w:t>neîncepere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urmăririi</w:t>
            </w:r>
            <w:proofErr w:type="spellEnd"/>
            <w:r>
              <w:t xml:space="preserve"> </w:t>
            </w:r>
            <w:proofErr w:type="spellStart"/>
            <w:r>
              <w:t>penale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privința</w:t>
            </w:r>
            <w:proofErr w:type="spellEnd"/>
            <w:r>
              <w:t xml:space="preserve"> </w:t>
            </w:r>
            <w:proofErr w:type="spellStart"/>
            <w:r>
              <w:t>angajaților</w:t>
            </w:r>
            <w:proofErr w:type="spellEnd"/>
            <w:r>
              <w:t xml:space="preserve"> IGP CGP </w:t>
            </w:r>
            <w:proofErr w:type="spellStart"/>
            <w:r>
              <w:t>mun</w:t>
            </w:r>
            <w:proofErr w:type="spellEnd"/>
            <w:r>
              <w:t xml:space="preserve">. </w:t>
            </w:r>
            <w:proofErr w:type="spellStart"/>
            <w:r>
              <w:t>Chișinău</w:t>
            </w:r>
            <w:proofErr w:type="spellEnd"/>
            <w:r>
              <w:t xml:space="preserve"> din 10.09.2009, </w:t>
            </w:r>
            <w:proofErr w:type="spellStart"/>
            <w:r>
              <w:t>Ordonanța</w:t>
            </w:r>
            <w:proofErr w:type="spellEnd"/>
            <w:r>
              <w:t xml:space="preserve"> de </w:t>
            </w:r>
            <w:proofErr w:type="spellStart"/>
            <w:r>
              <w:t>scoatere</w:t>
            </w:r>
            <w:proofErr w:type="spellEnd"/>
            <w:r>
              <w:t xml:space="preserve"> de sub </w:t>
            </w:r>
            <w:proofErr w:type="spellStart"/>
            <w:r>
              <w:t>urmărire</w:t>
            </w:r>
            <w:proofErr w:type="spellEnd"/>
            <w:r>
              <w:t xml:space="preserve"> </w:t>
            </w:r>
            <w:proofErr w:type="spellStart"/>
            <w:r>
              <w:t>penală</w:t>
            </w:r>
            <w:proofErr w:type="spellEnd"/>
            <w:r>
              <w:t xml:space="preserve"> a </w:t>
            </w:r>
            <w:proofErr w:type="spellStart"/>
            <w:r>
              <w:t>polițistului</w:t>
            </w:r>
            <w:proofErr w:type="spellEnd"/>
            <w:r>
              <w:t xml:space="preserve"> A.C. din 16.04.2010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Ordonanța</w:t>
            </w:r>
            <w:proofErr w:type="spellEnd"/>
            <w:r>
              <w:t xml:space="preserve"> din 22.04.2010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respingerea</w:t>
            </w:r>
            <w:proofErr w:type="spellEnd"/>
            <w:r>
              <w:t xml:space="preserve"> </w:t>
            </w:r>
            <w:proofErr w:type="spellStart"/>
            <w:r>
              <w:t>demersului</w:t>
            </w:r>
            <w:proofErr w:type="spellEnd"/>
            <w:r>
              <w:t xml:space="preserve"> </w:t>
            </w:r>
            <w:proofErr w:type="spellStart"/>
            <w:r>
              <w:t>apărătorului</w:t>
            </w:r>
            <w:proofErr w:type="spellEnd"/>
            <w:r>
              <w:t xml:space="preserve">); </w:t>
            </w:r>
            <w:r>
              <w:br/>
            </w:r>
            <w:r>
              <w:br/>
              <w:t xml:space="preserve">Vladimir </w:t>
            </w:r>
            <w:proofErr w:type="spellStart"/>
            <w:r>
              <w:t>Lupu</w:t>
            </w:r>
            <w:proofErr w:type="spellEnd"/>
            <w:r>
              <w:t xml:space="preserve">, </w:t>
            </w:r>
            <w:proofErr w:type="spellStart"/>
            <w:r>
              <w:t>procuror</w:t>
            </w:r>
            <w:proofErr w:type="spellEnd"/>
            <w:r>
              <w:t xml:space="preserve">, prim adjunct al </w:t>
            </w:r>
            <w:proofErr w:type="spellStart"/>
            <w:r>
              <w:t>procurorului</w:t>
            </w:r>
            <w:proofErr w:type="spellEnd"/>
            <w:r>
              <w:t xml:space="preserve"> </w:t>
            </w:r>
            <w:proofErr w:type="spellStart"/>
            <w:r>
              <w:t>mun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Chișinău</w:t>
            </w:r>
            <w:proofErr w:type="spellEnd"/>
            <w:r>
              <w:t xml:space="preserve"> (</w:t>
            </w:r>
            <w:proofErr w:type="spellStart"/>
            <w:r>
              <w:t>Ordonanța</w:t>
            </w:r>
            <w:proofErr w:type="spellEnd"/>
            <w:r>
              <w:t xml:space="preserve"> din 09.11.2009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respingerea</w:t>
            </w:r>
            <w:proofErr w:type="spellEnd"/>
            <w:r>
              <w:t xml:space="preserve"> </w:t>
            </w:r>
            <w:proofErr w:type="spellStart"/>
            <w:r>
              <w:t>plângerii</w:t>
            </w:r>
            <w:proofErr w:type="spellEnd"/>
            <w:r>
              <w:t xml:space="preserve"> </w:t>
            </w:r>
            <w:proofErr w:type="spellStart"/>
            <w:r>
              <w:t>reclamantelor</w:t>
            </w:r>
            <w:proofErr w:type="spellEnd"/>
            <w:r>
              <w:t xml:space="preserve"> O.R. </w:t>
            </w:r>
            <w:proofErr w:type="spellStart"/>
            <w:r>
              <w:t>și</w:t>
            </w:r>
            <w:proofErr w:type="spellEnd"/>
            <w:r>
              <w:t xml:space="preserve"> L.R.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dezacordul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cu </w:t>
            </w:r>
            <w:proofErr w:type="spellStart"/>
            <w:r>
              <w:t>Ordonanța</w:t>
            </w:r>
            <w:proofErr w:type="spellEnd"/>
            <w:r>
              <w:t xml:space="preserve"> de </w:t>
            </w:r>
            <w:proofErr w:type="spellStart"/>
            <w:r>
              <w:t>refuz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pornirea</w:t>
            </w:r>
            <w:proofErr w:type="spellEnd"/>
            <w:r>
              <w:t xml:space="preserve"> </w:t>
            </w:r>
            <w:proofErr w:type="spellStart"/>
            <w:r>
              <w:t>urmăririi</w:t>
            </w:r>
            <w:proofErr w:type="spellEnd"/>
            <w:r>
              <w:t xml:space="preserve"> </w:t>
            </w:r>
            <w:proofErr w:type="spellStart"/>
            <w:r>
              <w:t>penale</w:t>
            </w:r>
            <w:proofErr w:type="spellEnd"/>
            <w:r>
              <w:t xml:space="preserve"> din 10.09.2009); </w:t>
            </w:r>
            <w:r>
              <w:br/>
            </w:r>
            <w:r>
              <w:br/>
              <w:t xml:space="preserve">Daniel </w:t>
            </w:r>
            <w:proofErr w:type="spellStart"/>
            <w:r>
              <w:t>Baraliuc</w:t>
            </w:r>
            <w:proofErr w:type="spellEnd"/>
            <w:r>
              <w:t xml:space="preserve">, </w:t>
            </w:r>
            <w:proofErr w:type="spellStart"/>
            <w:r>
              <w:t>procuror</w:t>
            </w:r>
            <w:proofErr w:type="spellEnd"/>
            <w:r>
              <w:t xml:space="preserve">, a </w:t>
            </w:r>
            <w:proofErr w:type="spellStart"/>
            <w:r>
              <w:t>participat</w:t>
            </w:r>
            <w:proofErr w:type="spellEnd"/>
            <w:r>
              <w:t xml:space="preserve"> la </w:t>
            </w:r>
            <w:proofErr w:type="spellStart"/>
            <w:r>
              <w:t>ședința</w:t>
            </w:r>
            <w:proofErr w:type="spellEnd"/>
            <w:r>
              <w:t xml:space="preserve"> de </w:t>
            </w:r>
            <w:proofErr w:type="spellStart"/>
            <w:r>
              <w:t>judecată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care a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recunoscut</w:t>
            </w:r>
            <w:proofErr w:type="spellEnd"/>
            <w:r>
              <w:t xml:space="preserve"> </w:t>
            </w:r>
            <w:proofErr w:type="spellStart"/>
            <w:r>
              <w:t>legală</w:t>
            </w:r>
            <w:proofErr w:type="spellEnd"/>
            <w:r>
              <w:t xml:space="preserve"> </w:t>
            </w:r>
            <w:proofErr w:type="spellStart"/>
            <w:r>
              <w:t>Ordonanța</w:t>
            </w:r>
            <w:proofErr w:type="spellEnd"/>
            <w:r>
              <w:t xml:space="preserve"> de </w:t>
            </w:r>
            <w:proofErr w:type="spellStart"/>
            <w:r>
              <w:t>scoatere</w:t>
            </w:r>
            <w:proofErr w:type="spellEnd"/>
            <w:r>
              <w:t xml:space="preserve"> de sub </w:t>
            </w:r>
            <w:proofErr w:type="spellStart"/>
            <w:r>
              <w:t>urmărire</w:t>
            </w:r>
            <w:proofErr w:type="spellEnd"/>
            <w:r>
              <w:t xml:space="preserve"> </w:t>
            </w:r>
            <w:proofErr w:type="spellStart"/>
            <w:r>
              <w:t>penală</w:t>
            </w:r>
            <w:proofErr w:type="spellEnd"/>
            <w:r>
              <w:t xml:space="preserve"> a </w:t>
            </w:r>
            <w:proofErr w:type="spellStart"/>
            <w:r>
              <w:t>polițistului</w:t>
            </w:r>
            <w:proofErr w:type="spellEnd"/>
            <w:r>
              <w:t xml:space="preserve"> A.C. din 16.04.2010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ordonanța</w:t>
            </w:r>
            <w:proofErr w:type="spellEnd"/>
            <w:r>
              <w:t xml:space="preserve"> din 22.04.2010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respingerea</w:t>
            </w:r>
            <w:proofErr w:type="spellEnd"/>
            <w:r>
              <w:t xml:space="preserve"> </w:t>
            </w:r>
            <w:proofErr w:type="spellStart"/>
            <w:r>
              <w:t>demersului</w:t>
            </w:r>
            <w:proofErr w:type="spellEnd"/>
            <w:r>
              <w:t xml:space="preserve"> </w:t>
            </w:r>
            <w:proofErr w:type="spellStart"/>
            <w:r>
              <w:t>apărătorului</w:t>
            </w:r>
            <w:proofErr w:type="spellEnd"/>
            <w:r>
              <w:t xml:space="preserve"> N.M. </w:t>
            </w:r>
            <w:r>
              <w:br/>
            </w:r>
            <w:r>
              <w:br/>
            </w:r>
            <w:proofErr w:type="spellStart"/>
            <w:r>
              <w:t>Dorina</w:t>
            </w:r>
            <w:proofErr w:type="spellEnd"/>
            <w:r>
              <w:t xml:space="preserve"> </w:t>
            </w:r>
            <w:proofErr w:type="spellStart"/>
            <w:r>
              <w:t>Tăut</w:t>
            </w:r>
            <w:proofErr w:type="spellEnd"/>
            <w:r>
              <w:t xml:space="preserve">, </w:t>
            </w:r>
            <w:proofErr w:type="spellStart"/>
            <w:r>
              <w:t>procuror</w:t>
            </w:r>
            <w:proofErr w:type="spellEnd"/>
            <w:r>
              <w:t xml:space="preserve">, a </w:t>
            </w:r>
            <w:proofErr w:type="spellStart"/>
            <w:r>
              <w:t>participat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ședința</w:t>
            </w:r>
            <w:proofErr w:type="spellEnd"/>
            <w:r>
              <w:t xml:space="preserve"> de </w:t>
            </w:r>
            <w:proofErr w:type="spellStart"/>
            <w:r>
              <w:lastRenderedPageBreak/>
              <w:t>judecată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ordine</w:t>
            </w:r>
            <w:proofErr w:type="spellEnd"/>
            <w:r>
              <w:t xml:space="preserve"> de </w:t>
            </w:r>
            <w:proofErr w:type="spellStart"/>
            <w:r>
              <w:t>apel</w:t>
            </w:r>
            <w:proofErr w:type="spellEnd"/>
            <w:r>
              <w:t xml:space="preserve"> (</w:t>
            </w:r>
            <w:proofErr w:type="spellStart"/>
            <w:r>
              <w:t>decizia</w:t>
            </w:r>
            <w:proofErr w:type="spellEnd"/>
            <w:r>
              <w:t xml:space="preserve"> </w:t>
            </w:r>
            <w:proofErr w:type="spellStart"/>
            <w:r>
              <w:t>Curții</w:t>
            </w:r>
            <w:proofErr w:type="spellEnd"/>
            <w:r>
              <w:t xml:space="preserve"> de </w:t>
            </w:r>
            <w:proofErr w:type="spellStart"/>
            <w:r>
              <w:t>Apel</w:t>
            </w:r>
            <w:proofErr w:type="spellEnd"/>
            <w:r>
              <w:t xml:space="preserve"> </w:t>
            </w:r>
            <w:proofErr w:type="spellStart"/>
            <w:r>
              <w:t>Chișinău</w:t>
            </w:r>
            <w:proofErr w:type="spellEnd"/>
            <w:r>
              <w:t xml:space="preserve"> din 13.03.2013);</w:t>
            </w:r>
            <w:r>
              <w:br/>
            </w:r>
            <w:r>
              <w:br/>
            </w:r>
            <w:proofErr w:type="spellStart"/>
            <w:r>
              <w:t>Ghenadie</w:t>
            </w:r>
            <w:proofErr w:type="spellEnd"/>
            <w:r>
              <w:t xml:space="preserve"> </w:t>
            </w:r>
            <w:proofErr w:type="spellStart"/>
            <w:r>
              <w:t>Morozan</w:t>
            </w:r>
            <w:proofErr w:type="spellEnd"/>
            <w:r>
              <w:t xml:space="preserve">, </w:t>
            </w:r>
            <w:proofErr w:type="spellStart"/>
            <w:r>
              <w:t>judecător</w:t>
            </w:r>
            <w:proofErr w:type="spellEnd"/>
            <w:r>
              <w:t xml:space="preserve"> de </w:t>
            </w:r>
            <w:proofErr w:type="spellStart"/>
            <w:r>
              <w:t>instrucție</w:t>
            </w:r>
            <w:proofErr w:type="spellEnd"/>
            <w:r>
              <w:t xml:space="preserve">, </w:t>
            </w:r>
            <w:proofErr w:type="spellStart"/>
            <w:r>
              <w:t>Judecătoria</w:t>
            </w:r>
            <w:proofErr w:type="spellEnd"/>
            <w:r>
              <w:t xml:space="preserve"> </w:t>
            </w:r>
            <w:proofErr w:type="spellStart"/>
            <w:r>
              <w:t>Râșcani</w:t>
            </w:r>
            <w:proofErr w:type="spellEnd"/>
            <w:r>
              <w:t xml:space="preserve">, </w:t>
            </w:r>
            <w:proofErr w:type="spellStart"/>
            <w:r>
              <w:t>mun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Chișinău</w:t>
            </w:r>
            <w:proofErr w:type="gramStart"/>
            <w:r>
              <w:t>;încheiere</w:t>
            </w:r>
            <w:proofErr w:type="spellEnd"/>
            <w:proofErr w:type="gramEnd"/>
            <w:r>
              <w:t xml:space="preserve"> din 19.01.2010); </w:t>
            </w:r>
            <w:r>
              <w:br/>
            </w:r>
            <w:r>
              <w:br/>
            </w:r>
            <w:proofErr w:type="spellStart"/>
            <w:r>
              <w:t>Anatolie</w:t>
            </w:r>
            <w:proofErr w:type="spellEnd"/>
            <w:r>
              <w:t xml:space="preserve"> </w:t>
            </w:r>
            <w:proofErr w:type="spellStart"/>
            <w:r>
              <w:t>Galben</w:t>
            </w:r>
            <w:proofErr w:type="spellEnd"/>
            <w:r>
              <w:t xml:space="preserve">, </w:t>
            </w:r>
            <w:proofErr w:type="spellStart"/>
            <w:r>
              <w:t>judecător</w:t>
            </w:r>
            <w:proofErr w:type="spellEnd"/>
            <w:r>
              <w:t xml:space="preserve"> de </w:t>
            </w:r>
            <w:proofErr w:type="spellStart"/>
            <w:r>
              <w:t>instrucție</w:t>
            </w:r>
            <w:proofErr w:type="spellEnd"/>
            <w:r>
              <w:t xml:space="preserve">, </w:t>
            </w:r>
            <w:proofErr w:type="spellStart"/>
            <w:r>
              <w:t>Judecătoria</w:t>
            </w:r>
            <w:proofErr w:type="spellEnd"/>
            <w:r>
              <w:t xml:space="preserve"> </w:t>
            </w:r>
            <w:proofErr w:type="spellStart"/>
            <w:r>
              <w:t>Râșcani</w:t>
            </w:r>
            <w:proofErr w:type="spellEnd"/>
            <w:r>
              <w:t xml:space="preserve">, </w:t>
            </w:r>
            <w:proofErr w:type="spellStart"/>
            <w:r>
              <w:t>mun</w:t>
            </w:r>
            <w:proofErr w:type="spellEnd"/>
            <w:r>
              <w:t xml:space="preserve">. </w:t>
            </w:r>
            <w:proofErr w:type="spellStart"/>
            <w:r>
              <w:t>Chișinău</w:t>
            </w:r>
            <w:proofErr w:type="spellEnd"/>
            <w:r>
              <w:t xml:space="preserve"> (</w:t>
            </w:r>
            <w:proofErr w:type="spellStart"/>
            <w:r>
              <w:t>încheiere</w:t>
            </w:r>
            <w:proofErr w:type="spellEnd"/>
            <w:r>
              <w:t xml:space="preserve"> din 15.10.2010); </w:t>
            </w:r>
            <w:r>
              <w:br/>
            </w:r>
          </w:p>
          <w:p w:rsidR="00474396" w:rsidRPr="00FB0880" w:rsidRDefault="00474396" w:rsidP="00474396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>
              <w:t xml:space="preserve">Adela </w:t>
            </w:r>
            <w:proofErr w:type="spellStart"/>
            <w:r>
              <w:t>Andronic</w:t>
            </w:r>
            <w:proofErr w:type="spellEnd"/>
            <w:r>
              <w:t xml:space="preserve">, </w:t>
            </w:r>
            <w:proofErr w:type="spellStart"/>
            <w:r>
              <w:t>Judecătoria</w:t>
            </w:r>
            <w:proofErr w:type="spellEnd"/>
            <w:r>
              <w:t xml:space="preserve"> </w:t>
            </w:r>
            <w:proofErr w:type="spellStart"/>
            <w:r>
              <w:t>Centru</w:t>
            </w:r>
            <w:proofErr w:type="spellEnd"/>
            <w:r>
              <w:t xml:space="preserve">, </w:t>
            </w:r>
            <w:proofErr w:type="spellStart"/>
            <w:r>
              <w:t>mun</w:t>
            </w:r>
            <w:proofErr w:type="spellEnd"/>
            <w:r>
              <w:t xml:space="preserve">. </w:t>
            </w:r>
            <w:proofErr w:type="spellStart"/>
            <w:r>
              <w:t>Chișinău</w:t>
            </w:r>
            <w:proofErr w:type="spellEnd"/>
            <w:r>
              <w:t xml:space="preserve"> (</w:t>
            </w:r>
            <w:proofErr w:type="spellStart"/>
            <w:r>
              <w:t>sentința</w:t>
            </w:r>
            <w:proofErr w:type="spellEnd"/>
            <w:r>
              <w:t xml:space="preserve"> din 15 </w:t>
            </w:r>
            <w:proofErr w:type="spellStart"/>
            <w:r>
              <w:t>iulie</w:t>
            </w:r>
            <w:proofErr w:type="spellEnd"/>
            <w:r>
              <w:t xml:space="preserve"> 2011); </w:t>
            </w:r>
            <w:r>
              <w:br/>
            </w:r>
            <w:r>
              <w:br/>
            </w:r>
            <w:r w:rsidRPr="00075D14">
              <w:rPr>
                <w:highlight w:val="yellow"/>
              </w:rPr>
              <w:t>Lil</w:t>
            </w:r>
            <w:bookmarkStart w:id="0" w:name="_GoBack"/>
            <w:bookmarkEnd w:id="0"/>
            <w:r w:rsidRPr="00075D14">
              <w:rPr>
                <w:highlight w:val="yellow"/>
              </w:rPr>
              <w:t xml:space="preserve">iana </w:t>
            </w:r>
            <w:proofErr w:type="spellStart"/>
            <w:r w:rsidRPr="00075D14">
              <w:rPr>
                <w:highlight w:val="yellow"/>
              </w:rPr>
              <w:t>Catan</w:t>
            </w:r>
            <w:proofErr w:type="spellEnd"/>
            <w:r w:rsidRPr="00075D14">
              <w:rPr>
                <w:highlight w:val="yellow"/>
              </w:rPr>
              <w:t>,</w:t>
            </w:r>
            <w:r>
              <w:t xml:space="preserve"> </w:t>
            </w:r>
            <w:r>
              <w:br/>
              <w:t xml:space="preserve">Gheorghe </w:t>
            </w:r>
            <w:proofErr w:type="spellStart"/>
            <w:r>
              <w:t>Iovu</w:t>
            </w:r>
            <w:proofErr w:type="spellEnd"/>
            <w:r>
              <w:t xml:space="preserve">, </w:t>
            </w:r>
            <w:r>
              <w:br/>
              <w:t xml:space="preserve">Mihai </w:t>
            </w:r>
            <w:proofErr w:type="spellStart"/>
            <w:r>
              <w:t>Buruian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Curtea</w:t>
            </w:r>
            <w:proofErr w:type="spellEnd"/>
            <w:r>
              <w:t xml:space="preserve"> de </w:t>
            </w:r>
            <w:proofErr w:type="spellStart"/>
            <w:r>
              <w:t>Apel</w:t>
            </w:r>
            <w:proofErr w:type="spellEnd"/>
            <w:r>
              <w:t xml:space="preserve"> </w:t>
            </w:r>
            <w:proofErr w:type="spellStart"/>
            <w:r>
              <w:t>Chișinău</w:t>
            </w:r>
            <w:proofErr w:type="spellEnd"/>
            <w:r>
              <w:t xml:space="preserve"> (</w:t>
            </w:r>
            <w:proofErr w:type="spellStart"/>
            <w:r>
              <w:t>decizia</w:t>
            </w:r>
            <w:proofErr w:type="spellEnd"/>
            <w:r>
              <w:t xml:space="preserve"> din 13.03.2013); </w:t>
            </w:r>
            <w:r>
              <w:br/>
            </w:r>
            <w:r>
              <w:br/>
            </w:r>
            <w:proofErr w:type="spellStart"/>
            <w:r>
              <w:t>Petru</w:t>
            </w:r>
            <w:proofErr w:type="spellEnd"/>
            <w:r>
              <w:t xml:space="preserve"> </w:t>
            </w:r>
            <w:proofErr w:type="spellStart"/>
            <w:r>
              <w:t>Ursache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Iurie</w:t>
            </w:r>
            <w:proofErr w:type="spellEnd"/>
            <w:r>
              <w:t xml:space="preserve"> </w:t>
            </w:r>
            <w:proofErr w:type="spellStart"/>
            <w:r>
              <w:t>Diaconu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Ghenadie</w:t>
            </w:r>
            <w:proofErr w:type="spellEnd"/>
            <w:r>
              <w:t xml:space="preserve"> </w:t>
            </w:r>
            <w:proofErr w:type="spellStart"/>
            <w:r>
              <w:t>Nicolaev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Curtea</w:t>
            </w:r>
            <w:proofErr w:type="spellEnd"/>
            <w:r>
              <w:t xml:space="preserve"> </w:t>
            </w:r>
            <w:proofErr w:type="spellStart"/>
            <w:r>
              <w:t>Supremă</w:t>
            </w:r>
            <w:proofErr w:type="spellEnd"/>
            <w:r>
              <w:t xml:space="preserve"> de </w:t>
            </w:r>
            <w:proofErr w:type="spellStart"/>
            <w:r>
              <w:t>justiție</w:t>
            </w:r>
            <w:proofErr w:type="spellEnd"/>
            <w:r>
              <w:t xml:space="preserve"> (</w:t>
            </w:r>
            <w:proofErr w:type="spellStart"/>
            <w:r>
              <w:t>decizia</w:t>
            </w:r>
            <w:proofErr w:type="spellEnd"/>
            <w:r>
              <w:t xml:space="preserve"> din 11.09.2013)</w:t>
            </w:r>
          </w:p>
        </w:tc>
      </w:tr>
      <w:tr w:rsidR="00B15ABC" w:rsidRPr="008D728A" w:rsidTr="00286DF3">
        <w:tc>
          <w:tcPr>
            <w:tcW w:w="1619" w:type="dxa"/>
          </w:tcPr>
          <w:p w:rsidR="00B15ABC" w:rsidRPr="008D728A" w:rsidRDefault="00B15ABC" w:rsidP="00B15ABC">
            <w:pPr>
              <w:tabs>
                <w:tab w:val="left" w:pos="180"/>
                <w:tab w:val="left" w:pos="252"/>
              </w:tabs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b/>
                <w:sz w:val="20"/>
                <w:szCs w:val="20"/>
                <w:lang w:val="ro-RO"/>
              </w:rPr>
              <w:lastRenderedPageBreak/>
              <w:t xml:space="preserve">STEPULEAC c. </w:t>
            </w:r>
            <w:r w:rsidRPr="008D728A">
              <w:rPr>
                <w:rFonts w:ascii="Garamond" w:hAnsi="Garamond"/>
                <w:b/>
                <w:color w:val="000000"/>
                <w:sz w:val="20"/>
                <w:szCs w:val="20"/>
                <w:lang w:val="ro-RO"/>
              </w:rPr>
              <w:t>Moldovei</w:t>
            </w:r>
          </w:p>
        </w:tc>
        <w:tc>
          <w:tcPr>
            <w:tcW w:w="1080" w:type="dxa"/>
          </w:tcPr>
          <w:p w:rsidR="00B15ABC" w:rsidRPr="008D728A" w:rsidRDefault="00B15ABC" w:rsidP="00B15ABC">
            <w:pPr>
              <w:tabs>
                <w:tab w:val="num" w:pos="-180"/>
                <w:tab w:val="left" w:pos="180"/>
              </w:tabs>
              <w:ind w:left="-108" w:right="-108" w:hanging="30"/>
              <w:jc w:val="center"/>
              <w:rPr>
                <w:rFonts w:ascii="Garamond" w:hAnsi="Garamond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sz w:val="20"/>
                <w:szCs w:val="20"/>
                <w:lang w:val="ro-RO"/>
              </w:rPr>
              <w:t>06/11/2007</w:t>
            </w:r>
          </w:p>
        </w:tc>
        <w:tc>
          <w:tcPr>
            <w:tcW w:w="1171" w:type="dxa"/>
          </w:tcPr>
          <w:p w:rsidR="00B15ABC" w:rsidRPr="008D728A" w:rsidRDefault="00B15ABC" w:rsidP="00B15ABC">
            <w:pPr>
              <w:ind w:left="-144" w:right="-108" w:hanging="65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 w:cs="Tahoma"/>
                <w:color w:val="000000"/>
                <w:sz w:val="20"/>
                <w:szCs w:val="20"/>
                <w:lang w:val="ro-RO"/>
              </w:rPr>
              <w:t>8207/06</w:t>
            </w:r>
          </w:p>
        </w:tc>
        <w:tc>
          <w:tcPr>
            <w:tcW w:w="5129" w:type="dxa"/>
          </w:tcPr>
          <w:p w:rsidR="00B15ABC" w:rsidRPr="008D728A" w:rsidRDefault="00B15ABC" w:rsidP="00B15ABC">
            <w:pPr>
              <w:ind w:firstLine="45"/>
              <w:jc w:val="both"/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 w:cs="Tahoma"/>
                <w:bCs/>
                <w:color w:val="000000"/>
                <w:sz w:val="20"/>
                <w:szCs w:val="20"/>
                <w:lang w:val="ro-RO"/>
              </w:rPr>
              <w:t xml:space="preserve">violarea art. 3 CEDO (interzicerea torturii) – </w:t>
            </w:r>
            <w:r w:rsidRPr="008D728A">
              <w:rPr>
                <w:rFonts w:ascii="Garamond" w:hAnsi="Garamond" w:cs="Tahoma"/>
                <w:color w:val="000000"/>
                <w:sz w:val="20"/>
                <w:szCs w:val="20"/>
                <w:lang w:val="ro-RO"/>
              </w:rPr>
              <w:t xml:space="preserve">condiţiile rele de detenţie în IDP al Direcţiei Generale de Combatere a Crimei Organizate şi Corupţiei al MAI în care reclamantul a fost deţinut; insuficienţa asistenţei medicale acordate reclamantului în acest centru de detenţie; lipsa unei anchete adecvate din partea autorităţilor privind pretinsa intimidare a reclamantului în celulă; şi </w:t>
            </w:r>
            <w:r w:rsidRPr="008D728A">
              <w:rPr>
                <w:rFonts w:ascii="Garamond" w:hAnsi="Garamond" w:cs="Tahoma"/>
                <w:bCs/>
                <w:color w:val="000000"/>
                <w:sz w:val="20"/>
                <w:szCs w:val="20"/>
                <w:lang w:val="ro-RO"/>
              </w:rPr>
              <w:t>violarea art. 5 § 1 al Convenţiei</w:t>
            </w:r>
            <w:r w:rsidRPr="008D728A">
              <w:rPr>
                <w:rFonts w:ascii="Garamond" w:hAnsi="Garamond" w:cs="Tahoma"/>
                <w:color w:val="000000"/>
                <w:sz w:val="20"/>
                <w:szCs w:val="20"/>
                <w:lang w:val="ro-RO"/>
              </w:rPr>
              <w:t xml:space="preserve"> (legalitatea detenţiei) - cele </w:t>
            </w:r>
            <w:r w:rsidRPr="008D728A">
              <w:rPr>
                <w:rFonts w:ascii="Garamond" w:hAnsi="Garamond" w:cs="Tahoma"/>
                <w:color w:val="000000"/>
                <w:sz w:val="20"/>
                <w:szCs w:val="20"/>
                <w:lang w:val="ro-RO"/>
              </w:rPr>
              <w:lastRenderedPageBreak/>
              <w:t>două arestări ale reclamantului au avut loc fără a exista motive verosimile că el ar fi comis o infracţiune.</w:t>
            </w:r>
          </w:p>
        </w:tc>
        <w:tc>
          <w:tcPr>
            <w:tcW w:w="1890" w:type="dxa"/>
          </w:tcPr>
          <w:p w:rsidR="00B15ABC" w:rsidRPr="008D728A" w:rsidRDefault="00B15ABC" w:rsidP="00B15ABC">
            <w:pPr>
              <w:ind w:firstLine="14"/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lastRenderedPageBreak/>
              <w:t>Prejud. Moral.- € 12,000</w:t>
            </w:r>
          </w:p>
          <w:p w:rsidR="00B15ABC" w:rsidRPr="008D728A" w:rsidRDefault="00B15ABC" w:rsidP="00B15ABC">
            <w:pPr>
              <w:ind w:firstLine="14"/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>Cost/chelt.- €  3,000</w:t>
            </w:r>
          </w:p>
        </w:tc>
        <w:tc>
          <w:tcPr>
            <w:tcW w:w="4501" w:type="dxa"/>
          </w:tcPr>
          <w:p w:rsidR="00B15ABC" w:rsidRPr="008D728A" w:rsidRDefault="00B15ABC" w:rsidP="00B15ABC">
            <w:pPr>
              <w:jc w:val="both"/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>a) solicitat urmărirea penală împotriva reclamantului – Valeriu OHLADCIUC, Ofiţer de Urmărire Penală, MAI;</w:t>
            </w:r>
          </w:p>
          <w:p w:rsidR="00B15ABC" w:rsidRPr="008D728A" w:rsidRDefault="00B15ABC" w:rsidP="00B15ABC">
            <w:pPr>
              <w:jc w:val="both"/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>b) a pornit urmărirea penală – Silvian MAHU, procuror, Procuratura Generală;</w:t>
            </w:r>
          </w:p>
          <w:p w:rsidR="00B15ABC" w:rsidRPr="008D728A" w:rsidRDefault="00B15ABC" w:rsidP="00B15ABC">
            <w:pPr>
              <w:jc w:val="both"/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lastRenderedPageBreak/>
              <w:t>c)  a solicitat arestarea reclamantului - Silvian MAHU, procuror, Procuratura Generală;</w:t>
            </w:r>
          </w:p>
          <w:p w:rsidR="00B15ABC" w:rsidRPr="008D728A" w:rsidRDefault="00B15ABC" w:rsidP="00B15ABC">
            <w:pPr>
              <w:jc w:val="both"/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>d) a autorizat arestul reclamantului – Mihai DROSU, Ion MOROZAN, judecători, Judecătoria Buiucani;</w:t>
            </w:r>
          </w:p>
          <w:p w:rsidR="00B15ABC" w:rsidRPr="008D728A" w:rsidRDefault="00B15ABC" w:rsidP="00B15ABC">
            <w:pPr>
              <w:jc w:val="both"/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 xml:space="preserve">e) au respins recursul împotriva autorizării arestării – Ghenadie NICOLAEV, Gheorghe STRATAN, Tudor MICU, </w:t>
            </w:r>
            <w:r w:rsidRPr="008D728A">
              <w:rPr>
                <w:rFonts w:ascii="Garamond" w:hAnsi="Garamond"/>
                <w:color w:val="000000"/>
                <w:sz w:val="20"/>
                <w:szCs w:val="20"/>
                <w:highlight w:val="yellow"/>
                <w:lang w:val="ro-RO"/>
              </w:rPr>
              <w:t>Liliana CATAN</w:t>
            </w: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 xml:space="preserve">, Eugenia CONOVAL, Dionisie PANOV.    </w:t>
            </w:r>
          </w:p>
        </w:tc>
      </w:tr>
      <w:tr w:rsidR="00B15ABC" w:rsidRPr="008D728A" w:rsidTr="00286DF3">
        <w:tc>
          <w:tcPr>
            <w:tcW w:w="1619" w:type="dxa"/>
          </w:tcPr>
          <w:p w:rsidR="00B15ABC" w:rsidRPr="008D728A" w:rsidRDefault="00B15ABC" w:rsidP="00B15ABC">
            <w:pPr>
              <w:tabs>
                <w:tab w:val="left" w:pos="180"/>
                <w:tab w:val="left" w:pos="252"/>
              </w:tabs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b/>
                <w:sz w:val="20"/>
                <w:szCs w:val="20"/>
                <w:lang w:val="ro-RO"/>
              </w:rPr>
              <w:lastRenderedPageBreak/>
              <w:t>CEBOTARI c. Moldovei</w:t>
            </w:r>
          </w:p>
        </w:tc>
        <w:tc>
          <w:tcPr>
            <w:tcW w:w="1080" w:type="dxa"/>
          </w:tcPr>
          <w:p w:rsidR="00B15ABC" w:rsidRPr="008D728A" w:rsidRDefault="00B15ABC" w:rsidP="00B15ABC">
            <w:pPr>
              <w:tabs>
                <w:tab w:val="num" w:pos="-180"/>
                <w:tab w:val="left" w:pos="180"/>
              </w:tabs>
              <w:ind w:left="-108" w:right="-108" w:hanging="30"/>
              <w:jc w:val="center"/>
              <w:rPr>
                <w:rFonts w:ascii="Garamond" w:hAnsi="Garamond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sz w:val="20"/>
                <w:szCs w:val="20"/>
                <w:lang w:val="ro-RO"/>
              </w:rPr>
              <w:t>13/11/2007</w:t>
            </w:r>
          </w:p>
        </w:tc>
        <w:tc>
          <w:tcPr>
            <w:tcW w:w="1171" w:type="dxa"/>
          </w:tcPr>
          <w:p w:rsidR="00B15ABC" w:rsidRPr="008D728A" w:rsidRDefault="00B15ABC" w:rsidP="00B15ABC">
            <w:pPr>
              <w:ind w:left="-144" w:right="-108" w:hanging="65"/>
              <w:jc w:val="center"/>
              <w:rPr>
                <w:rFonts w:ascii="Garamond" w:hAnsi="Garamond" w:cs="Tahoma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 w:cs="Tahoma"/>
                <w:color w:val="000000"/>
                <w:sz w:val="20"/>
                <w:szCs w:val="20"/>
                <w:lang w:val="ro-RO"/>
              </w:rPr>
              <w:t>35615/06</w:t>
            </w:r>
          </w:p>
        </w:tc>
        <w:tc>
          <w:tcPr>
            <w:tcW w:w="5129" w:type="dxa"/>
          </w:tcPr>
          <w:p w:rsidR="00B15ABC" w:rsidRPr="008D728A" w:rsidRDefault="00B15ABC" w:rsidP="00B15ABC">
            <w:pPr>
              <w:ind w:firstLine="45"/>
              <w:jc w:val="both"/>
              <w:rPr>
                <w:rFonts w:ascii="Garamond" w:hAnsi="Garamond" w:cs="Tahoma"/>
                <w:bCs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Style w:val="Strong"/>
                <w:rFonts w:ascii="Garamond" w:hAnsi="Garamond" w:cs="Tahoma"/>
                <w:b w:val="0"/>
                <w:color w:val="000000"/>
                <w:sz w:val="20"/>
                <w:szCs w:val="20"/>
                <w:lang w:val="ro-RO"/>
              </w:rPr>
              <w:t xml:space="preserve">violarea art. 5 § 1 </w:t>
            </w:r>
            <w:r w:rsidRPr="008D728A">
              <w:rPr>
                <w:rFonts w:ascii="Garamond" w:hAnsi="Garamond" w:cs="Tahoma"/>
                <w:bCs/>
                <w:color w:val="000000"/>
                <w:sz w:val="20"/>
                <w:szCs w:val="20"/>
                <w:lang w:val="ro-RO"/>
              </w:rPr>
              <w:t>al Convenţiei</w:t>
            </w:r>
            <w:r w:rsidRPr="008D728A">
              <w:rPr>
                <w:rStyle w:val="Strong"/>
                <w:rFonts w:ascii="Garamond" w:hAnsi="Garamond" w:cs="Tahoma"/>
                <w:b w:val="0"/>
                <w:color w:val="000000"/>
                <w:sz w:val="20"/>
                <w:szCs w:val="20"/>
                <w:lang w:val="ro-RO"/>
              </w:rPr>
              <w:t xml:space="preserve"> </w:t>
            </w:r>
            <w:r w:rsidRPr="008D728A">
              <w:rPr>
                <w:rFonts w:ascii="Garamond" w:hAnsi="Garamond" w:cs="Tahoma"/>
                <w:bCs/>
                <w:color w:val="000000"/>
                <w:sz w:val="20"/>
                <w:szCs w:val="20"/>
                <w:lang w:val="ro-RO"/>
              </w:rPr>
              <w:t xml:space="preserve">(legalitatea detenţiei) </w:t>
            </w:r>
            <w:r w:rsidRPr="008D728A">
              <w:rPr>
                <w:rStyle w:val="Strong"/>
                <w:rFonts w:ascii="Garamond" w:hAnsi="Garamond" w:cs="Tahoma"/>
                <w:b w:val="0"/>
                <w:color w:val="000000"/>
                <w:sz w:val="20"/>
                <w:szCs w:val="20"/>
                <w:lang w:val="ro-RO"/>
              </w:rPr>
              <w:t xml:space="preserve">combinat cu art. 18 CEDO (limitarea restrângerilor drepturilor) – pornirea de către CCCEC a unui dosar penal şi arestarea reclamantului pentru că a refuzat să dea declaraţii convenabile organului de urmărire penală; violarea art. 34 al Convenţiei (dreptul de a sesiza Curtea) - </w:t>
            </w:r>
            <w:r w:rsidRPr="008D728A">
              <w:rPr>
                <w:rFonts w:ascii="Garamond" w:hAnsi="Garamond" w:cs="Tahoma"/>
                <w:bCs/>
                <w:color w:val="000000"/>
                <w:sz w:val="20"/>
                <w:szCs w:val="20"/>
                <w:lang w:val="ro-RO"/>
              </w:rPr>
              <w:t>imposibilitatea pentru reclamant de a avea întrevederi cu avocatul său în procedurile naţionale în incinta Izolatorului de Detenţie Provizorie al CCCEC, fără a fi despărţiţi de peretele din sticlă deoarece existenţa peretelui de sticlă creează suspiciunea temeinică că întrevederea nu este confidenţială.</w:t>
            </w:r>
          </w:p>
        </w:tc>
        <w:tc>
          <w:tcPr>
            <w:tcW w:w="1890" w:type="dxa"/>
          </w:tcPr>
          <w:p w:rsidR="00B15ABC" w:rsidRPr="008D728A" w:rsidRDefault="00B15ABC" w:rsidP="00B15ABC">
            <w:pPr>
              <w:ind w:firstLine="14"/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>Prejud. Moral.- € 10,000</w:t>
            </w:r>
          </w:p>
          <w:p w:rsidR="00B15ABC" w:rsidRPr="008D728A" w:rsidRDefault="00B15ABC" w:rsidP="00B15ABC">
            <w:pPr>
              <w:ind w:firstLine="14"/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>Cost/chelt.- €  2,500</w:t>
            </w:r>
          </w:p>
        </w:tc>
        <w:tc>
          <w:tcPr>
            <w:tcW w:w="4501" w:type="dxa"/>
          </w:tcPr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>a) au instrumentat cauza penală – Eugen BÎCU, Bogdan ZUMBREANU, Vitalie GALERU, ofiţeri de urmărire penală, CCCEC şi Lilian RUDEI, procuror, Procuratura Anticorupţie;</w:t>
            </w: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>b) a eliberat mandatul de arest - Ion MOROZAN, judecător, Judecătoria Buiucani</w:t>
            </w:r>
          </w:p>
          <w:p w:rsidR="00B15ABC" w:rsidRPr="008D728A" w:rsidRDefault="00B15ABC" w:rsidP="00B15ABC">
            <w:pPr>
              <w:jc w:val="both"/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 xml:space="preserve">c) a respins recursul la încheierea de autorizare a restului - Tudor MICU, Gheorghe STRATAN, Dina ROTARCIUC, Gheorghe NICOLAEV, </w:t>
            </w:r>
            <w:r w:rsidRPr="008D728A">
              <w:rPr>
                <w:rFonts w:ascii="Garamond" w:hAnsi="Garamond"/>
                <w:color w:val="000000"/>
                <w:sz w:val="20"/>
                <w:szCs w:val="20"/>
                <w:highlight w:val="yellow"/>
                <w:lang w:val="ro-RO"/>
              </w:rPr>
              <w:t>Liliana CATAN</w:t>
            </w: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>, judecători, Curtea de Apel Chişinău</w:t>
            </w: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>d) a obiectat împotriva demersului de eliberare după expirarea mandatului de arest – Mircea ROŞIORU, Procuror, Procuratura Anticorupţie;</w:t>
            </w:r>
          </w:p>
          <w:p w:rsidR="00B15ABC" w:rsidRPr="008D728A" w:rsidRDefault="00B15ABC" w:rsidP="00B15ABC">
            <w:pPr>
              <w:jc w:val="both"/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>e) au respins demersul de eliberare după expirarea mandatului de arest – Ecaterina PALANCIUC, Nicolae GORDILĂ, Dina SUŞCHEVICI, judecători, judecătoria Centru, municipiul Chişinău</w:t>
            </w:r>
          </w:p>
        </w:tc>
      </w:tr>
      <w:tr w:rsidR="00B15ABC" w:rsidRPr="008D728A" w:rsidTr="00286DF3">
        <w:tc>
          <w:tcPr>
            <w:tcW w:w="1619" w:type="dxa"/>
          </w:tcPr>
          <w:p w:rsidR="00B15ABC" w:rsidRPr="008D728A" w:rsidRDefault="00B15ABC" w:rsidP="00B15ABC">
            <w:pPr>
              <w:tabs>
                <w:tab w:val="left" w:pos="180"/>
                <w:tab w:val="left" w:pos="252"/>
              </w:tabs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b/>
                <w:sz w:val="20"/>
                <w:szCs w:val="20"/>
                <w:lang w:val="ro-RO"/>
              </w:rPr>
              <w:t>LEVINŢA c. Moldovei (nr. 2)</w:t>
            </w:r>
          </w:p>
        </w:tc>
        <w:tc>
          <w:tcPr>
            <w:tcW w:w="1080" w:type="dxa"/>
          </w:tcPr>
          <w:p w:rsidR="00B15ABC" w:rsidRPr="008D728A" w:rsidRDefault="00B15ABC" w:rsidP="00B15ABC">
            <w:pPr>
              <w:tabs>
                <w:tab w:val="num" w:pos="-180"/>
                <w:tab w:val="left" w:pos="180"/>
              </w:tabs>
              <w:ind w:left="-108" w:right="-108" w:hanging="30"/>
              <w:jc w:val="center"/>
              <w:rPr>
                <w:rFonts w:ascii="Garamond" w:hAnsi="Garamond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sz w:val="20"/>
                <w:szCs w:val="20"/>
                <w:lang w:val="ro-RO"/>
              </w:rPr>
              <w:t>17/01/2012</w:t>
            </w:r>
          </w:p>
        </w:tc>
        <w:tc>
          <w:tcPr>
            <w:tcW w:w="1171" w:type="dxa"/>
          </w:tcPr>
          <w:p w:rsidR="00B15ABC" w:rsidRPr="008D728A" w:rsidRDefault="00B15ABC" w:rsidP="00B15ABC">
            <w:pPr>
              <w:ind w:left="-144" w:right="-108" w:hanging="65"/>
              <w:jc w:val="center"/>
              <w:rPr>
                <w:rFonts w:ascii="Garamond" w:hAnsi="Garamond" w:cs="Tahoma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 w:cs="Tahoma"/>
                <w:color w:val="000000"/>
                <w:sz w:val="20"/>
                <w:szCs w:val="20"/>
                <w:lang w:val="ro-RO"/>
              </w:rPr>
              <w:t>50717/09</w:t>
            </w:r>
          </w:p>
        </w:tc>
        <w:tc>
          <w:tcPr>
            <w:tcW w:w="5129" w:type="dxa"/>
          </w:tcPr>
          <w:p w:rsidR="00B15ABC" w:rsidRPr="008D728A" w:rsidRDefault="00B15ABC" w:rsidP="00B15ABC">
            <w:pPr>
              <w:ind w:firstLine="45"/>
              <w:jc w:val="both"/>
              <w:rPr>
                <w:rFonts w:ascii="Garamond" w:hAnsi="Garamond" w:cs="Tahoma"/>
                <w:bCs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 w:cs="Tahoma"/>
                <w:bCs/>
                <w:color w:val="000000"/>
                <w:sz w:val="20"/>
                <w:szCs w:val="20"/>
                <w:lang w:val="ro-RO"/>
              </w:rPr>
              <w:t>violarea art. 5.1 CEDO – deten</w:t>
            </w:r>
            <w:r w:rsidRPr="008D728A">
              <w:rPr>
                <w:rFonts w:ascii="Cambria" w:hAnsi="Cambria" w:cs="Cambria"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8D728A">
              <w:rPr>
                <w:rFonts w:ascii="Garamond" w:hAnsi="Garamond" w:cs="Tahoma"/>
                <w:bCs/>
                <w:color w:val="000000"/>
                <w:sz w:val="20"/>
                <w:szCs w:val="20"/>
                <w:lang w:val="ro-RO"/>
              </w:rPr>
              <w:t>ia ilegal</w:t>
            </w:r>
            <w:r w:rsidRPr="008D728A">
              <w:rPr>
                <w:rFonts w:ascii="Garamond" w:hAnsi="Garamond" w:cs="Garamond"/>
                <w:bCs/>
                <w:color w:val="000000"/>
                <w:sz w:val="20"/>
                <w:szCs w:val="20"/>
                <w:lang w:val="ro-RO"/>
              </w:rPr>
              <w:t>ă</w:t>
            </w:r>
            <w:r w:rsidRPr="008D728A">
              <w:rPr>
                <w:rFonts w:ascii="Garamond" w:hAnsi="Garamond" w:cs="Tahoma"/>
                <w:bCs/>
                <w:color w:val="000000"/>
                <w:sz w:val="20"/>
                <w:szCs w:val="20"/>
                <w:lang w:val="ro-RO"/>
              </w:rPr>
              <w:t xml:space="preserve"> a reclamantului pentru o perioad</w:t>
            </w:r>
            <w:r w:rsidRPr="008D728A">
              <w:rPr>
                <w:rFonts w:ascii="Garamond" w:hAnsi="Garamond" w:cs="Garamond"/>
                <w:bCs/>
                <w:color w:val="000000"/>
                <w:sz w:val="20"/>
                <w:szCs w:val="20"/>
                <w:lang w:val="ro-RO"/>
              </w:rPr>
              <w:t>ă</w:t>
            </w:r>
            <w:r w:rsidRPr="008D728A">
              <w:rPr>
                <w:rFonts w:ascii="Garamond" w:hAnsi="Garamond" w:cs="Tahoma"/>
                <w:bCs/>
                <w:color w:val="000000"/>
                <w:sz w:val="20"/>
                <w:szCs w:val="20"/>
                <w:lang w:val="ro-RO"/>
              </w:rPr>
              <w:t xml:space="preserve"> de mai mult de 2 luni de zile.</w:t>
            </w:r>
          </w:p>
          <w:p w:rsidR="00B15ABC" w:rsidRPr="008D728A" w:rsidRDefault="00B15ABC" w:rsidP="00B15ABC">
            <w:pPr>
              <w:ind w:firstLine="45"/>
              <w:jc w:val="both"/>
              <w:rPr>
                <w:rFonts w:ascii="Garamond" w:hAnsi="Garamond" w:cs="Tahoma"/>
                <w:bCs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 w:cs="Tahoma"/>
                <w:bCs/>
                <w:color w:val="000000"/>
                <w:sz w:val="20"/>
                <w:szCs w:val="20"/>
                <w:lang w:val="ro-RO"/>
              </w:rPr>
              <w:t>violarea art. 5.4 CEDO – neinformarea apărării despre examinarea demersului de prelungire a arestării preventive.</w:t>
            </w:r>
          </w:p>
        </w:tc>
        <w:tc>
          <w:tcPr>
            <w:tcW w:w="1890" w:type="dxa"/>
          </w:tcPr>
          <w:p w:rsidR="00B15ABC" w:rsidRPr="008D728A" w:rsidRDefault="00B15ABC" w:rsidP="00B15ABC">
            <w:pPr>
              <w:ind w:firstLine="14"/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>Suma totala - EUR 10,000</w:t>
            </w:r>
          </w:p>
          <w:p w:rsidR="00B15ABC" w:rsidRPr="008D728A" w:rsidRDefault="00B15ABC" w:rsidP="00B15ABC">
            <w:pPr>
              <w:ind w:firstLine="14"/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>Prejud. moral - EUR 8,000</w:t>
            </w:r>
          </w:p>
          <w:p w:rsidR="00B15ABC" w:rsidRPr="008D728A" w:rsidRDefault="00B15ABC" w:rsidP="00B15ABC">
            <w:pPr>
              <w:ind w:firstLine="14"/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>Cost. şi chelt. - EUR 2,000</w:t>
            </w:r>
          </w:p>
        </w:tc>
        <w:tc>
          <w:tcPr>
            <w:tcW w:w="4501" w:type="dxa"/>
          </w:tcPr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 xml:space="preserve">Încheierea Curţii de Apel Chişinău din 19 aprilie 2010 pe respins demersul avocatului T. Ungureanu cu privire la eliberarea din arest a fraţilor Levinţa, şi admiterea demersurile procurorilor Lupaşco A., Ciobanu S., Vdovîi V. şi aplicarea măsurii preventive sub formă de arest preventin pe termen de 30 zile. </w:t>
            </w: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lastRenderedPageBreak/>
              <w:t xml:space="preserve"> Judecători: Tudor Micu, Gheorghe Iovu, Mihail Buruian.</w:t>
            </w: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>Decizia Colegiului Penal al Curţii Supreme de Justiţie din 13 mai 2010 a fost respins recursul avocatului T. Ungureanu, şi menţinută Încheierea Colegiului Penal al Curţii de Apel Chişinău din 19 aprilie 2010.</w:t>
            </w: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 xml:space="preserve"> Judecători: Olga Adam, Iurie Bejenaru, Nicolae Gordila. </w:t>
            </w: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>Încheierea Curţii de Apel Chişinău 13 mai 2010 au fost admise demersurile procurorilor Lupaşco A., Ciobanu S., Vdovîi V şi prelungită măsura preventive sub formă de arest preventin pe termen de 60 zile.</w:t>
            </w: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 xml:space="preserve"> Judecători: Tudor Micu, Mihail Buruian, cu exepţia lui Gheorghe Iovu, care a avut o opinie separată.</w:t>
            </w: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 xml:space="preserve">Decizia Colegiului Penal al Curţii Supreme de Justiţie din 03 iunie 2010 a fost respins recursul avocatului T. Ungureanu, şi menţinută Încheierea Colegiului Penal al Curţii de Apel Chişinău din 13 mai 2010. </w:t>
            </w: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 xml:space="preserve"> Judecători: Ion Arhiliuc, Iurie Bejenaru, Nicolae Gordila. </w:t>
            </w: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>Încheierea Curţii de Apel Chişinău din 12 iulie au fost admise demersurile procurorilor Lupaşco A., Ciobanu S., Vdovîi V şi prelungită măsura preventive sub formă de arest preventiv pe termen de 60 zile.</w:t>
            </w: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lastRenderedPageBreak/>
              <w:t xml:space="preserve"> Judecători: Tudor Micu, Mihail Buruian, Gheorghe Iovu.</w:t>
            </w: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>Decizia Curţii Supreme de Justiţie din 29 iulie 2010 a fost respins recursul avocaţilor Veaceslav Ţurcan şi Maxim Belinschi, şi menţinută Încheierea Colegiului Penal al Curţii de Apel Chişinău din 12 iunie 2010.</w:t>
            </w: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 xml:space="preserve"> Judecători: Olga Adam, Iulia Cimpoi, Eugenia Fistican.</w:t>
            </w: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>Prin Încheierea Curţii de Apel Chişinău  din 10 septembrie 2010 au fost admise demersurile procurorilor Lupaşco A., Ciobanu S., Vdovîi V şi prelungită măsura preventive sub formă de arest preventin pe termen de 90 zile.</w:t>
            </w: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 xml:space="preserve"> Judecători: Conoval Eugenia, </w:t>
            </w:r>
            <w:r w:rsidRPr="008D728A">
              <w:rPr>
                <w:rFonts w:ascii="Garamond" w:hAnsi="Garamond"/>
                <w:color w:val="000000"/>
                <w:sz w:val="20"/>
                <w:szCs w:val="20"/>
                <w:highlight w:val="yellow"/>
                <w:lang w:val="ro-RO"/>
              </w:rPr>
              <w:t>CATAN Liliana</w:t>
            </w: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>, Melinteanu Iurie.</w:t>
            </w: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>Decizia Curţii Supreme de Justiţie din 01 octombrie 2010 a fost respins recursul avocaţilor Veaceslav Ţurcan şi Maxim Belinschi, şi menţinută Încheierea Colegiului Penal al Curţii de Apel Chişinău din 10 septembrie 2010.</w:t>
            </w: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 xml:space="preserve"> Judecători: Olga Adam, Iurie Bejenaru, Nicolae Gordila.</w:t>
            </w: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 xml:space="preserve">Încheierea Curţii de Apel Chişinău  din 08 decembrie 2010 au fost admise demersurile procurorilor Lupaşco A., Ciobanu S., Vdovîi V şi prelungită măsura </w:t>
            </w: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lastRenderedPageBreak/>
              <w:t>preventive sub formă de arest preventiv pe termen de 90 zile.</w:t>
            </w:r>
          </w:p>
          <w:p w:rsidR="00B15ABC" w:rsidRPr="008D728A" w:rsidRDefault="00B15ABC" w:rsidP="00B15ABC">
            <w:pPr>
              <w:rPr>
                <w:rFonts w:ascii="Garamond" w:hAnsi="Garamond"/>
                <w:color w:val="000000"/>
                <w:sz w:val="20"/>
                <w:szCs w:val="20"/>
                <w:lang w:val="ro-RO"/>
              </w:rPr>
            </w:pPr>
            <w:r w:rsidRPr="008D728A">
              <w:rPr>
                <w:rFonts w:ascii="Garamond" w:hAnsi="Garamond"/>
                <w:color w:val="000000"/>
                <w:sz w:val="20"/>
                <w:szCs w:val="20"/>
                <w:lang w:val="ro-RO"/>
              </w:rPr>
              <w:t xml:space="preserve"> Judecători: Micu Tudor, Buruian Mihail, Iovu Gheorghe</w:t>
            </w:r>
          </w:p>
        </w:tc>
      </w:tr>
      <w:tr w:rsidR="002D4D1A" w:rsidRPr="008D728A" w:rsidTr="00286DF3">
        <w:trPr>
          <w:trHeight w:val="422"/>
        </w:trPr>
        <w:tc>
          <w:tcPr>
            <w:tcW w:w="1619" w:type="dxa"/>
          </w:tcPr>
          <w:p w:rsidR="002D4D1A" w:rsidRPr="008D728A" w:rsidRDefault="00374479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sz w:val="20"/>
                <w:szCs w:val="20"/>
              </w:rPr>
              <w:lastRenderedPageBreak/>
              <w:t xml:space="preserve">GOREMÎCHIN c. </w:t>
            </w:r>
            <w:proofErr w:type="spellStart"/>
            <w:r w:rsidRPr="008D728A">
              <w:rPr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1080" w:type="dxa"/>
          </w:tcPr>
          <w:p w:rsidR="002D4D1A" w:rsidRPr="008D728A" w:rsidRDefault="00286DF3" w:rsidP="007B0BE0">
            <w:pPr>
              <w:ind w:left="-144" w:righ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sz w:val="20"/>
                <w:szCs w:val="20"/>
              </w:rPr>
              <w:t>05.06.2018 05.06.2018</w:t>
            </w:r>
          </w:p>
        </w:tc>
        <w:tc>
          <w:tcPr>
            <w:tcW w:w="1171" w:type="dxa"/>
          </w:tcPr>
          <w:p w:rsidR="002D4D1A" w:rsidRPr="008D728A" w:rsidRDefault="00286DF3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sz w:val="20"/>
                <w:szCs w:val="20"/>
              </w:rPr>
              <w:t>30921/10</w:t>
            </w:r>
          </w:p>
        </w:tc>
        <w:tc>
          <w:tcPr>
            <w:tcW w:w="5129" w:type="dxa"/>
          </w:tcPr>
          <w:p w:rsidR="002D4D1A" w:rsidRPr="008D728A" w:rsidRDefault="00286DF3" w:rsidP="008D728A">
            <w:pPr>
              <w:rPr>
                <w:rFonts w:ascii="Calibri" w:hAnsi="Calibri"/>
                <w:b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8D728A">
              <w:rPr>
                <w:sz w:val="20"/>
                <w:szCs w:val="20"/>
              </w:rPr>
              <w:t>Invocând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Articolele</w:t>
            </w:r>
            <w:proofErr w:type="spellEnd"/>
            <w:r w:rsidRPr="008D728A">
              <w:rPr>
                <w:sz w:val="20"/>
                <w:szCs w:val="20"/>
              </w:rPr>
              <w:t xml:space="preserve"> 3, 5, 6 </w:t>
            </w:r>
            <w:proofErr w:type="spellStart"/>
            <w:r w:rsidRPr="008D728A">
              <w:rPr>
                <w:sz w:val="20"/>
                <w:szCs w:val="20"/>
              </w:rPr>
              <w:t>și</w:t>
            </w:r>
            <w:proofErr w:type="spellEnd"/>
            <w:r w:rsidRPr="008D728A">
              <w:rPr>
                <w:sz w:val="20"/>
                <w:szCs w:val="20"/>
              </w:rPr>
              <w:t xml:space="preserve"> 13 din </w:t>
            </w:r>
            <w:proofErr w:type="spellStart"/>
            <w:r w:rsidRPr="008D728A">
              <w:rPr>
                <w:sz w:val="20"/>
                <w:szCs w:val="20"/>
              </w:rPr>
              <w:t>Convenție</w:t>
            </w:r>
            <w:proofErr w:type="spellEnd"/>
            <w:r w:rsidRPr="008D728A">
              <w:rPr>
                <w:sz w:val="20"/>
                <w:szCs w:val="20"/>
              </w:rPr>
              <w:t xml:space="preserve">, </w:t>
            </w:r>
            <w:proofErr w:type="spellStart"/>
            <w:r w:rsidRPr="008D728A">
              <w:rPr>
                <w:sz w:val="20"/>
                <w:szCs w:val="20"/>
              </w:rPr>
              <w:t>reclamantul</w:t>
            </w:r>
            <w:proofErr w:type="spellEnd"/>
            <w:r w:rsidRPr="008D728A">
              <w:rPr>
                <w:sz w:val="20"/>
                <w:szCs w:val="20"/>
              </w:rPr>
              <w:t xml:space="preserve"> s-a </w:t>
            </w:r>
            <w:proofErr w:type="spellStart"/>
            <w:r w:rsidRPr="008D728A">
              <w:rPr>
                <w:sz w:val="20"/>
                <w:szCs w:val="20"/>
              </w:rPr>
              <w:t>plâns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în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fața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Curții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că</w:t>
            </w:r>
            <w:proofErr w:type="spellEnd"/>
            <w:r w:rsidRPr="008D728A">
              <w:rPr>
                <w:sz w:val="20"/>
                <w:szCs w:val="20"/>
              </w:rPr>
              <w:t xml:space="preserve"> a </w:t>
            </w:r>
            <w:proofErr w:type="spellStart"/>
            <w:r w:rsidRPr="008D728A">
              <w:rPr>
                <w:sz w:val="20"/>
                <w:szCs w:val="20"/>
              </w:rPr>
              <w:t>fost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deținut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în</w:t>
            </w:r>
            <w:proofErr w:type="spellEnd"/>
            <w:r w:rsidRPr="008D728A">
              <w:rPr>
                <w:sz w:val="20"/>
                <w:szCs w:val="20"/>
              </w:rPr>
              <w:t xml:space="preserve"> mod </w:t>
            </w:r>
            <w:proofErr w:type="spellStart"/>
            <w:r w:rsidRPr="008D728A">
              <w:rPr>
                <w:sz w:val="20"/>
                <w:szCs w:val="20"/>
              </w:rPr>
              <w:t>ilegal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în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condiții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inadecvate</w:t>
            </w:r>
            <w:proofErr w:type="spellEnd"/>
            <w:r w:rsidRPr="008D728A">
              <w:rPr>
                <w:sz w:val="20"/>
                <w:szCs w:val="20"/>
              </w:rPr>
              <w:t xml:space="preserve">, </w:t>
            </w:r>
            <w:proofErr w:type="spellStart"/>
            <w:r w:rsidRPr="008D728A">
              <w:rPr>
                <w:sz w:val="20"/>
                <w:szCs w:val="20"/>
              </w:rPr>
              <w:t>că</w:t>
            </w:r>
            <w:proofErr w:type="spellEnd"/>
            <w:r w:rsidRPr="008D728A">
              <w:rPr>
                <w:sz w:val="20"/>
                <w:szCs w:val="20"/>
              </w:rPr>
              <w:t xml:space="preserve"> nu a </w:t>
            </w:r>
            <w:proofErr w:type="spellStart"/>
            <w:r w:rsidRPr="008D728A">
              <w:rPr>
                <w:sz w:val="20"/>
                <w:szCs w:val="20"/>
              </w:rPr>
              <w:t>dispus</w:t>
            </w:r>
            <w:proofErr w:type="spellEnd"/>
            <w:r w:rsidRPr="008D728A">
              <w:rPr>
                <w:sz w:val="20"/>
                <w:szCs w:val="20"/>
              </w:rPr>
              <w:t xml:space="preserve"> de un </w:t>
            </w:r>
            <w:proofErr w:type="spellStart"/>
            <w:r w:rsidRPr="008D728A">
              <w:rPr>
                <w:sz w:val="20"/>
                <w:szCs w:val="20"/>
              </w:rPr>
              <w:t>remediu</w:t>
            </w:r>
            <w:proofErr w:type="spellEnd"/>
            <w:r w:rsidRPr="008D728A">
              <w:rPr>
                <w:sz w:val="20"/>
                <w:szCs w:val="20"/>
              </w:rPr>
              <w:t xml:space="preserve"> intern </w:t>
            </w:r>
            <w:proofErr w:type="spellStart"/>
            <w:r w:rsidRPr="008D728A">
              <w:rPr>
                <w:sz w:val="20"/>
                <w:szCs w:val="20"/>
              </w:rPr>
              <w:t>eficient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în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privința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condițiilor</w:t>
            </w:r>
            <w:proofErr w:type="spellEnd"/>
            <w:r w:rsidRPr="008D728A">
              <w:rPr>
                <w:sz w:val="20"/>
                <w:szCs w:val="20"/>
              </w:rPr>
              <w:t xml:space="preserve"> sale de </w:t>
            </w:r>
            <w:proofErr w:type="spellStart"/>
            <w:r w:rsidRPr="008D728A">
              <w:rPr>
                <w:sz w:val="20"/>
                <w:szCs w:val="20"/>
              </w:rPr>
              <w:t>detenție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și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că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instanțele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naționale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ar</w:t>
            </w:r>
            <w:proofErr w:type="spellEnd"/>
            <w:r w:rsidRPr="008D728A">
              <w:rPr>
                <w:sz w:val="20"/>
                <w:szCs w:val="20"/>
              </w:rPr>
              <w:t xml:space="preserve"> fi </w:t>
            </w:r>
            <w:proofErr w:type="spellStart"/>
            <w:r w:rsidRPr="008D728A">
              <w:rPr>
                <w:sz w:val="20"/>
                <w:szCs w:val="20"/>
              </w:rPr>
              <w:t>admis</w:t>
            </w:r>
            <w:proofErr w:type="spellEnd"/>
            <w:r w:rsidRPr="008D728A">
              <w:rPr>
                <w:sz w:val="20"/>
                <w:szCs w:val="20"/>
              </w:rPr>
              <w:t xml:space="preserve"> un recurs </w:t>
            </w:r>
            <w:proofErr w:type="spellStart"/>
            <w:r w:rsidRPr="008D728A">
              <w:rPr>
                <w:sz w:val="20"/>
                <w:szCs w:val="20"/>
              </w:rPr>
              <w:t>tardiv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împotriva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unei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sentințe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prin</w:t>
            </w:r>
            <w:proofErr w:type="spellEnd"/>
            <w:r w:rsidRPr="008D728A">
              <w:rPr>
                <w:sz w:val="20"/>
                <w:szCs w:val="20"/>
              </w:rPr>
              <w:t xml:space="preserve"> care </w:t>
            </w:r>
            <w:proofErr w:type="spellStart"/>
            <w:r w:rsidRPr="008D728A">
              <w:rPr>
                <w:sz w:val="20"/>
                <w:szCs w:val="20"/>
              </w:rPr>
              <w:t>acesta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fusese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achitat</w:t>
            </w:r>
            <w:proofErr w:type="spellEnd"/>
            <w:r w:rsidRPr="008D728A">
              <w:rPr>
                <w:sz w:val="20"/>
                <w:szCs w:val="20"/>
              </w:rPr>
              <w:t xml:space="preserve">, </w:t>
            </w:r>
            <w:proofErr w:type="spellStart"/>
            <w:r w:rsidRPr="008D728A">
              <w:rPr>
                <w:sz w:val="20"/>
                <w:szCs w:val="20"/>
              </w:rPr>
              <w:t>dispunând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arestul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preventiv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pentru</w:t>
            </w:r>
            <w:proofErr w:type="spellEnd"/>
            <w:r w:rsidRPr="008D728A">
              <w:rPr>
                <w:sz w:val="20"/>
                <w:szCs w:val="20"/>
              </w:rPr>
              <w:t xml:space="preserve"> o </w:t>
            </w:r>
            <w:proofErr w:type="spellStart"/>
            <w:r w:rsidRPr="008D728A">
              <w:rPr>
                <w:sz w:val="20"/>
                <w:szCs w:val="20"/>
              </w:rPr>
              <w:t>perioadă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mai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lungă</w:t>
            </w:r>
            <w:proofErr w:type="spellEnd"/>
            <w:r w:rsidRPr="008D728A">
              <w:rPr>
                <w:sz w:val="20"/>
                <w:szCs w:val="20"/>
              </w:rPr>
              <w:t xml:space="preserve"> de un an. </w:t>
            </w:r>
            <w:proofErr w:type="spellStart"/>
            <w:r w:rsidRPr="008D728A">
              <w:rPr>
                <w:sz w:val="20"/>
                <w:szCs w:val="20"/>
              </w:rPr>
              <w:t>Curtea</w:t>
            </w:r>
            <w:proofErr w:type="spellEnd"/>
            <w:r w:rsidRPr="008D728A">
              <w:rPr>
                <w:sz w:val="20"/>
                <w:szCs w:val="20"/>
              </w:rPr>
              <w:t xml:space="preserve"> a </w:t>
            </w:r>
            <w:proofErr w:type="spellStart"/>
            <w:r w:rsidRPr="008D728A">
              <w:rPr>
                <w:sz w:val="20"/>
                <w:szCs w:val="20"/>
              </w:rPr>
              <w:t>constatat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că</w:t>
            </w:r>
            <w:proofErr w:type="spellEnd"/>
            <w:r w:rsidRPr="008D728A">
              <w:rPr>
                <w:sz w:val="20"/>
                <w:szCs w:val="20"/>
              </w:rPr>
              <w:t xml:space="preserve"> a </w:t>
            </w:r>
            <w:proofErr w:type="spellStart"/>
            <w:r w:rsidRPr="008D728A">
              <w:rPr>
                <w:sz w:val="20"/>
                <w:szCs w:val="20"/>
              </w:rPr>
              <w:t>avut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loc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încălcarea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Articolului</w:t>
            </w:r>
            <w:proofErr w:type="spellEnd"/>
            <w:r w:rsidRPr="008D728A">
              <w:rPr>
                <w:sz w:val="20"/>
                <w:szCs w:val="20"/>
              </w:rPr>
              <w:t xml:space="preserve"> 3 din </w:t>
            </w:r>
            <w:proofErr w:type="spellStart"/>
            <w:r w:rsidRPr="008D728A">
              <w:rPr>
                <w:sz w:val="20"/>
                <w:szCs w:val="20"/>
              </w:rPr>
              <w:t>Convenție</w:t>
            </w:r>
            <w:proofErr w:type="spellEnd"/>
            <w:r w:rsidRPr="008D728A">
              <w:rPr>
                <w:sz w:val="20"/>
                <w:szCs w:val="20"/>
              </w:rPr>
              <w:t xml:space="preserve"> din </w:t>
            </w:r>
            <w:proofErr w:type="spellStart"/>
            <w:r w:rsidRPr="008D728A">
              <w:rPr>
                <w:sz w:val="20"/>
                <w:szCs w:val="20"/>
              </w:rPr>
              <w:t>cauza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condițiilor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inadecvate</w:t>
            </w:r>
            <w:proofErr w:type="spellEnd"/>
            <w:r w:rsidRPr="008D728A">
              <w:rPr>
                <w:sz w:val="20"/>
                <w:szCs w:val="20"/>
              </w:rPr>
              <w:t xml:space="preserve"> de </w:t>
            </w:r>
            <w:proofErr w:type="spellStart"/>
            <w:r w:rsidRPr="008D728A">
              <w:rPr>
                <w:sz w:val="20"/>
                <w:szCs w:val="20"/>
              </w:rPr>
              <w:t>detenție</w:t>
            </w:r>
            <w:proofErr w:type="spellEnd"/>
            <w:r w:rsidRPr="008D728A">
              <w:rPr>
                <w:sz w:val="20"/>
                <w:szCs w:val="20"/>
              </w:rPr>
              <w:t xml:space="preserve"> din </w:t>
            </w:r>
            <w:proofErr w:type="spellStart"/>
            <w:r w:rsidRPr="008D728A">
              <w:rPr>
                <w:sz w:val="20"/>
                <w:szCs w:val="20"/>
              </w:rPr>
              <w:t>penitenciarele</w:t>
            </w:r>
            <w:proofErr w:type="spellEnd"/>
            <w:r w:rsidRPr="008D728A">
              <w:rPr>
                <w:sz w:val="20"/>
                <w:szCs w:val="20"/>
              </w:rPr>
              <w:t xml:space="preserve"> 11 </w:t>
            </w:r>
            <w:proofErr w:type="spellStart"/>
            <w:r w:rsidRPr="008D728A">
              <w:rPr>
                <w:sz w:val="20"/>
                <w:szCs w:val="20"/>
              </w:rPr>
              <w:t>și</w:t>
            </w:r>
            <w:proofErr w:type="spellEnd"/>
            <w:r w:rsidRPr="008D728A">
              <w:rPr>
                <w:sz w:val="20"/>
                <w:szCs w:val="20"/>
              </w:rPr>
              <w:t xml:space="preserve"> 13.</w:t>
            </w:r>
            <w:proofErr w:type="gram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Reclamantul</w:t>
            </w:r>
            <w:proofErr w:type="spellEnd"/>
            <w:r w:rsidRPr="008D728A">
              <w:rPr>
                <w:sz w:val="20"/>
                <w:szCs w:val="20"/>
              </w:rPr>
              <w:t xml:space="preserve"> s-a </w:t>
            </w:r>
            <w:proofErr w:type="spellStart"/>
            <w:r w:rsidRPr="008D728A">
              <w:rPr>
                <w:sz w:val="20"/>
                <w:szCs w:val="20"/>
              </w:rPr>
              <w:t>plâns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în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baza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Articolului</w:t>
            </w:r>
            <w:proofErr w:type="spellEnd"/>
            <w:r w:rsidRPr="008D728A">
              <w:rPr>
                <w:sz w:val="20"/>
                <w:szCs w:val="20"/>
              </w:rPr>
              <w:t xml:space="preserve"> 5 § 1 din </w:t>
            </w:r>
            <w:proofErr w:type="spellStart"/>
            <w:r w:rsidRPr="008D728A">
              <w:rPr>
                <w:sz w:val="20"/>
                <w:szCs w:val="20"/>
              </w:rPr>
              <w:t>Convenție</w:t>
            </w:r>
            <w:proofErr w:type="spellEnd"/>
            <w:r w:rsidRPr="008D728A">
              <w:rPr>
                <w:sz w:val="20"/>
                <w:szCs w:val="20"/>
              </w:rPr>
              <w:t xml:space="preserve">, </w:t>
            </w:r>
            <w:proofErr w:type="spellStart"/>
            <w:r w:rsidRPr="008D728A">
              <w:rPr>
                <w:sz w:val="20"/>
                <w:szCs w:val="20"/>
              </w:rPr>
              <w:t>susținând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că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detenția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sa</w:t>
            </w:r>
            <w:proofErr w:type="spellEnd"/>
            <w:r w:rsidRPr="008D728A">
              <w:rPr>
                <w:sz w:val="20"/>
                <w:szCs w:val="20"/>
              </w:rPr>
              <w:t xml:space="preserve"> a </w:t>
            </w:r>
            <w:proofErr w:type="spellStart"/>
            <w:r w:rsidRPr="008D728A">
              <w:rPr>
                <w:sz w:val="20"/>
                <w:szCs w:val="20"/>
              </w:rPr>
              <w:t>durat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mai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mult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decât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permitea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legea</w:t>
            </w:r>
            <w:proofErr w:type="spellEnd"/>
            <w:r w:rsidRPr="008D728A">
              <w:rPr>
                <w:sz w:val="20"/>
                <w:szCs w:val="20"/>
              </w:rPr>
              <w:t xml:space="preserve">. </w:t>
            </w:r>
            <w:proofErr w:type="spellStart"/>
            <w:r w:rsidRPr="008D728A">
              <w:rPr>
                <w:sz w:val="20"/>
                <w:szCs w:val="20"/>
              </w:rPr>
              <w:t>Făcând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referire</w:t>
            </w:r>
            <w:proofErr w:type="spellEnd"/>
            <w:r w:rsidRPr="008D728A">
              <w:rPr>
                <w:sz w:val="20"/>
                <w:szCs w:val="20"/>
              </w:rPr>
              <w:t xml:space="preserve"> la </w:t>
            </w:r>
            <w:proofErr w:type="spellStart"/>
            <w:r w:rsidRPr="008D728A">
              <w:rPr>
                <w:sz w:val="20"/>
                <w:szCs w:val="20"/>
              </w:rPr>
              <w:t>cauza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Savca</w:t>
            </w:r>
            <w:proofErr w:type="spellEnd"/>
            <w:r w:rsidRPr="008D728A">
              <w:rPr>
                <w:sz w:val="20"/>
                <w:szCs w:val="20"/>
              </w:rPr>
              <w:t xml:space="preserve"> v. </w:t>
            </w:r>
            <w:proofErr w:type="spellStart"/>
            <w:r w:rsidRPr="008D728A">
              <w:rPr>
                <w:sz w:val="20"/>
                <w:szCs w:val="20"/>
              </w:rPr>
              <w:t>Republica</w:t>
            </w:r>
            <w:proofErr w:type="spellEnd"/>
            <w:r w:rsidRPr="008D728A">
              <w:rPr>
                <w:sz w:val="20"/>
                <w:szCs w:val="20"/>
              </w:rPr>
              <w:t xml:space="preserve"> Moldova (</w:t>
            </w:r>
            <w:proofErr w:type="spellStart"/>
            <w:r w:rsidRPr="008D728A">
              <w:rPr>
                <w:sz w:val="20"/>
                <w:szCs w:val="20"/>
              </w:rPr>
              <w:t>nr</w:t>
            </w:r>
            <w:proofErr w:type="spellEnd"/>
            <w:r w:rsidRPr="008D728A">
              <w:rPr>
                <w:sz w:val="20"/>
                <w:szCs w:val="20"/>
              </w:rPr>
              <w:t xml:space="preserve">. 17963/08, 15 </w:t>
            </w:r>
            <w:proofErr w:type="spellStart"/>
            <w:r w:rsidRPr="008D728A">
              <w:rPr>
                <w:sz w:val="20"/>
                <w:szCs w:val="20"/>
              </w:rPr>
              <w:t>martie</w:t>
            </w:r>
            <w:proofErr w:type="spellEnd"/>
            <w:r w:rsidRPr="008D728A">
              <w:rPr>
                <w:sz w:val="20"/>
                <w:szCs w:val="20"/>
              </w:rPr>
              <w:t xml:space="preserve"> 2018), </w:t>
            </w:r>
            <w:proofErr w:type="spellStart"/>
            <w:r w:rsidRPr="008D728A">
              <w:rPr>
                <w:sz w:val="20"/>
                <w:szCs w:val="20"/>
              </w:rPr>
              <w:t>Curtea</w:t>
            </w:r>
            <w:proofErr w:type="spellEnd"/>
            <w:r w:rsidRPr="008D728A">
              <w:rPr>
                <w:sz w:val="20"/>
                <w:szCs w:val="20"/>
              </w:rPr>
              <w:t xml:space="preserve"> a </w:t>
            </w:r>
            <w:proofErr w:type="spellStart"/>
            <w:r w:rsidRPr="008D728A">
              <w:rPr>
                <w:sz w:val="20"/>
                <w:szCs w:val="20"/>
              </w:rPr>
              <w:t>concluzionat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că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gramStart"/>
            <w:r w:rsidRPr="008D728A">
              <w:rPr>
                <w:sz w:val="20"/>
                <w:szCs w:val="20"/>
              </w:rPr>
              <w:t>a</w:t>
            </w:r>
            <w:proofErr w:type="gram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avut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loc</w:t>
            </w:r>
            <w:proofErr w:type="spellEnd"/>
            <w:r w:rsidRPr="008D728A">
              <w:rPr>
                <w:sz w:val="20"/>
                <w:szCs w:val="20"/>
              </w:rPr>
              <w:t xml:space="preserve"> o </w:t>
            </w:r>
            <w:proofErr w:type="spellStart"/>
            <w:r w:rsidRPr="008D728A">
              <w:rPr>
                <w:sz w:val="20"/>
                <w:szCs w:val="20"/>
              </w:rPr>
              <w:t>încălcare</w:t>
            </w:r>
            <w:proofErr w:type="spellEnd"/>
            <w:r w:rsidRPr="008D728A">
              <w:rPr>
                <w:sz w:val="20"/>
                <w:szCs w:val="20"/>
              </w:rPr>
              <w:t xml:space="preserve"> a </w:t>
            </w:r>
            <w:proofErr w:type="spellStart"/>
            <w:r w:rsidRPr="008D728A">
              <w:rPr>
                <w:sz w:val="20"/>
                <w:szCs w:val="20"/>
              </w:rPr>
              <w:t>Articolului</w:t>
            </w:r>
            <w:proofErr w:type="spellEnd"/>
            <w:r w:rsidRPr="008D728A">
              <w:rPr>
                <w:sz w:val="20"/>
                <w:szCs w:val="20"/>
              </w:rPr>
              <w:t xml:space="preserve"> 5 § 1 din </w:t>
            </w:r>
            <w:proofErr w:type="spellStart"/>
            <w:r w:rsidRPr="008D728A">
              <w:rPr>
                <w:sz w:val="20"/>
                <w:szCs w:val="20"/>
              </w:rPr>
              <w:t>Convenție</w:t>
            </w:r>
            <w:proofErr w:type="spellEnd"/>
            <w:r w:rsidRPr="008D728A">
              <w:rPr>
                <w:sz w:val="20"/>
                <w:szCs w:val="20"/>
              </w:rPr>
              <w:t xml:space="preserve">. </w:t>
            </w:r>
            <w:proofErr w:type="spellStart"/>
            <w:r w:rsidRPr="008D728A">
              <w:rPr>
                <w:sz w:val="20"/>
                <w:szCs w:val="20"/>
              </w:rPr>
              <w:t>Curtea</w:t>
            </w:r>
            <w:proofErr w:type="spellEnd"/>
            <w:r w:rsidRPr="008D728A">
              <w:rPr>
                <w:sz w:val="20"/>
                <w:szCs w:val="20"/>
              </w:rPr>
              <w:t xml:space="preserve"> a </w:t>
            </w:r>
            <w:proofErr w:type="spellStart"/>
            <w:r w:rsidRPr="008D728A">
              <w:rPr>
                <w:sz w:val="20"/>
                <w:szCs w:val="20"/>
              </w:rPr>
              <w:t>constatat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că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gramStart"/>
            <w:r w:rsidRPr="008D728A">
              <w:rPr>
                <w:sz w:val="20"/>
                <w:szCs w:val="20"/>
              </w:rPr>
              <w:t>a</w:t>
            </w:r>
            <w:proofErr w:type="gram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avut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loc</w:t>
            </w:r>
            <w:proofErr w:type="spellEnd"/>
            <w:r w:rsidRPr="008D728A">
              <w:rPr>
                <w:sz w:val="20"/>
                <w:szCs w:val="20"/>
              </w:rPr>
              <w:t xml:space="preserve"> o </w:t>
            </w:r>
            <w:proofErr w:type="spellStart"/>
            <w:r w:rsidRPr="008D728A">
              <w:rPr>
                <w:sz w:val="20"/>
                <w:szCs w:val="20"/>
              </w:rPr>
              <w:t>încălcare</w:t>
            </w:r>
            <w:proofErr w:type="spellEnd"/>
            <w:r w:rsidRPr="008D728A">
              <w:rPr>
                <w:sz w:val="20"/>
                <w:szCs w:val="20"/>
              </w:rPr>
              <w:t xml:space="preserve"> a </w:t>
            </w:r>
            <w:proofErr w:type="spellStart"/>
            <w:r w:rsidRPr="008D728A">
              <w:rPr>
                <w:sz w:val="20"/>
                <w:szCs w:val="20"/>
              </w:rPr>
              <w:t>Articolului</w:t>
            </w:r>
            <w:proofErr w:type="spellEnd"/>
            <w:r w:rsidRPr="008D728A">
              <w:rPr>
                <w:sz w:val="20"/>
                <w:szCs w:val="20"/>
              </w:rPr>
              <w:t xml:space="preserve"> 6 § 1 din </w:t>
            </w:r>
            <w:proofErr w:type="spellStart"/>
            <w:r w:rsidRPr="008D728A">
              <w:rPr>
                <w:sz w:val="20"/>
                <w:szCs w:val="20"/>
              </w:rPr>
              <w:t>Convenție</w:t>
            </w:r>
            <w:proofErr w:type="spellEnd"/>
            <w:r w:rsidRPr="008D728A">
              <w:rPr>
                <w:sz w:val="20"/>
                <w:szCs w:val="20"/>
              </w:rPr>
              <w:t xml:space="preserve"> din </w:t>
            </w:r>
            <w:proofErr w:type="spellStart"/>
            <w:r w:rsidRPr="008D728A">
              <w:rPr>
                <w:sz w:val="20"/>
                <w:szCs w:val="20"/>
              </w:rPr>
              <w:t>cauza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admiterii</w:t>
            </w:r>
            <w:proofErr w:type="spellEnd"/>
            <w:r w:rsidRPr="008D728A">
              <w:rPr>
                <w:sz w:val="20"/>
                <w:szCs w:val="20"/>
              </w:rPr>
              <w:t xml:space="preserve"> de </w:t>
            </w:r>
            <w:proofErr w:type="spellStart"/>
            <w:r w:rsidRPr="008D728A">
              <w:rPr>
                <w:sz w:val="20"/>
                <w:szCs w:val="20"/>
              </w:rPr>
              <w:t>către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Curtea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Supremă</w:t>
            </w:r>
            <w:proofErr w:type="spellEnd"/>
            <w:r w:rsidRPr="008D728A">
              <w:rPr>
                <w:sz w:val="20"/>
                <w:szCs w:val="20"/>
              </w:rPr>
              <w:t xml:space="preserve"> de </w:t>
            </w:r>
            <w:proofErr w:type="spellStart"/>
            <w:r w:rsidRPr="008D728A">
              <w:rPr>
                <w:sz w:val="20"/>
                <w:szCs w:val="20"/>
              </w:rPr>
              <w:t>Justiție</w:t>
            </w:r>
            <w:proofErr w:type="spellEnd"/>
            <w:r w:rsidRPr="008D728A">
              <w:rPr>
                <w:sz w:val="20"/>
                <w:szCs w:val="20"/>
              </w:rPr>
              <w:t xml:space="preserve"> a </w:t>
            </w:r>
            <w:proofErr w:type="spellStart"/>
            <w:r w:rsidRPr="008D728A">
              <w:rPr>
                <w:sz w:val="20"/>
                <w:szCs w:val="20"/>
              </w:rPr>
              <w:t>unui</w:t>
            </w:r>
            <w:proofErr w:type="spellEnd"/>
            <w:r w:rsidRPr="008D728A">
              <w:rPr>
                <w:sz w:val="20"/>
                <w:szCs w:val="20"/>
              </w:rPr>
              <w:t xml:space="preserve"> recurs </w:t>
            </w:r>
            <w:proofErr w:type="spellStart"/>
            <w:r w:rsidRPr="008D728A">
              <w:rPr>
                <w:sz w:val="20"/>
                <w:szCs w:val="20"/>
              </w:rPr>
              <w:t>tardiv</w:t>
            </w:r>
            <w:proofErr w:type="spellEnd"/>
            <w:r w:rsidRPr="008D728A">
              <w:rPr>
                <w:sz w:val="20"/>
                <w:szCs w:val="20"/>
              </w:rPr>
              <w:t xml:space="preserve">. </w:t>
            </w:r>
            <w:proofErr w:type="spellStart"/>
            <w:r w:rsidRPr="008D728A">
              <w:rPr>
                <w:sz w:val="20"/>
                <w:szCs w:val="20"/>
              </w:rPr>
              <w:t>Curtea</w:t>
            </w:r>
            <w:proofErr w:type="spellEnd"/>
            <w:r w:rsidRPr="008D728A">
              <w:rPr>
                <w:sz w:val="20"/>
                <w:szCs w:val="20"/>
              </w:rPr>
              <w:t xml:space="preserve"> a </w:t>
            </w:r>
            <w:proofErr w:type="spellStart"/>
            <w:r w:rsidRPr="008D728A">
              <w:rPr>
                <w:sz w:val="20"/>
                <w:szCs w:val="20"/>
              </w:rPr>
              <w:t>reiterat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problema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remediilor</w:t>
            </w:r>
            <w:proofErr w:type="spellEnd"/>
            <w:r w:rsidRPr="008D728A">
              <w:rPr>
                <w:sz w:val="20"/>
                <w:szCs w:val="20"/>
              </w:rPr>
              <w:t xml:space="preserve"> interne cu </w:t>
            </w:r>
            <w:proofErr w:type="spellStart"/>
            <w:r w:rsidRPr="008D728A">
              <w:rPr>
                <w:sz w:val="20"/>
                <w:szCs w:val="20"/>
              </w:rPr>
              <w:t>privire</w:t>
            </w:r>
            <w:proofErr w:type="spellEnd"/>
            <w:r w:rsidRPr="008D728A">
              <w:rPr>
                <w:sz w:val="20"/>
                <w:szCs w:val="20"/>
              </w:rPr>
              <w:t xml:space="preserve"> la </w:t>
            </w:r>
            <w:proofErr w:type="spellStart"/>
            <w:r w:rsidRPr="008D728A">
              <w:rPr>
                <w:sz w:val="20"/>
                <w:szCs w:val="20"/>
              </w:rPr>
              <w:t>condițiile</w:t>
            </w:r>
            <w:proofErr w:type="spellEnd"/>
            <w:r w:rsidRPr="008D728A">
              <w:rPr>
                <w:sz w:val="20"/>
                <w:szCs w:val="20"/>
              </w:rPr>
              <w:t xml:space="preserve"> de </w:t>
            </w:r>
            <w:proofErr w:type="spellStart"/>
            <w:r w:rsidRPr="008D728A">
              <w:rPr>
                <w:sz w:val="20"/>
                <w:szCs w:val="20"/>
              </w:rPr>
              <w:t>detenție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precare</w:t>
            </w:r>
            <w:proofErr w:type="spellEnd"/>
            <w:r w:rsidRPr="008D728A">
              <w:rPr>
                <w:sz w:val="20"/>
                <w:szCs w:val="20"/>
              </w:rPr>
              <w:t xml:space="preserve"> din </w:t>
            </w:r>
            <w:proofErr w:type="spellStart"/>
            <w:r w:rsidRPr="008D728A">
              <w:rPr>
                <w:sz w:val="20"/>
                <w:szCs w:val="20"/>
              </w:rPr>
              <w:t>Republica</w:t>
            </w:r>
            <w:proofErr w:type="spellEnd"/>
            <w:r w:rsidRPr="008D728A">
              <w:rPr>
                <w:sz w:val="20"/>
                <w:szCs w:val="20"/>
              </w:rPr>
              <w:t xml:space="preserve"> Moldova, </w:t>
            </w:r>
            <w:proofErr w:type="spellStart"/>
            <w:r w:rsidRPr="008D728A">
              <w:rPr>
                <w:sz w:val="20"/>
                <w:szCs w:val="20"/>
              </w:rPr>
              <w:t>constatând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încălcarea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Articolului</w:t>
            </w:r>
            <w:proofErr w:type="spellEnd"/>
            <w:r w:rsidRPr="008D728A">
              <w:rPr>
                <w:sz w:val="20"/>
                <w:szCs w:val="20"/>
              </w:rPr>
              <w:t xml:space="preserve"> 13 din </w:t>
            </w:r>
            <w:proofErr w:type="spellStart"/>
            <w:r w:rsidRPr="008D728A">
              <w:rPr>
                <w:sz w:val="20"/>
                <w:szCs w:val="20"/>
              </w:rPr>
              <w:t>Convenție</w:t>
            </w:r>
            <w:proofErr w:type="spellEnd"/>
            <w:r w:rsidRPr="008D728A"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2D4D1A" w:rsidRPr="008D728A" w:rsidRDefault="00286DF3" w:rsidP="007B0BE0">
            <w:pPr>
              <w:ind w:left="-108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8D728A">
              <w:rPr>
                <w:sz w:val="20"/>
                <w:szCs w:val="20"/>
              </w:rPr>
              <w:t>Curtea</w:t>
            </w:r>
            <w:proofErr w:type="spellEnd"/>
            <w:r w:rsidRPr="008D728A">
              <w:rPr>
                <w:sz w:val="20"/>
                <w:szCs w:val="20"/>
              </w:rPr>
              <w:t xml:space="preserve"> a </w:t>
            </w:r>
            <w:proofErr w:type="spellStart"/>
            <w:r w:rsidRPr="008D728A">
              <w:rPr>
                <w:sz w:val="20"/>
                <w:szCs w:val="20"/>
              </w:rPr>
              <w:t>acordat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reclamantului</w:t>
            </w:r>
            <w:proofErr w:type="spellEnd"/>
            <w:r w:rsidRPr="008D728A">
              <w:rPr>
                <w:sz w:val="20"/>
                <w:szCs w:val="20"/>
              </w:rPr>
              <w:t xml:space="preserve"> 15000 euro </w:t>
            </w:r>
            <w:proofErr w:type="spellStart"/>
            <w:r w:rsidRPr="008D728A">
              <w:rPr>
                <w:sz w:val="20"/>
                <w:szCs w:val="20"/>
              </w:rPr>
              <w:t>în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calitate</w:t>
            </w:r>
            <w:proofErr w:type="spellEnd"/>
            <w:r w:rsidRPr="008D728A">
              <w:rPr>
                <w:sz w:val="20"/>
                <w:szCs w:val="20"/>
              </w:rPr>
              <w:t xml:space="preserve"> de </w:t>
            </w:r>
            <w:proofErr w:type="spellStart"/>
            <w:r w:rsidRPr="008D728A">
              <w:rPr>
                <w:sz w:val="20"/>
                <w:szCs w:val="20"/>
              </w:rPr>
              <w:t>despăgubire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pentru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prejudiciul</w:t>
            </w:r>
            <w:proofErr w:type="spellEnd"/>
            <w:r w:rsidRPr="008D728A">
              <w:rPr>
                <w:sz w:val="20"/>
                <w:szCs w:val="20"/>
              </w:rPr>
              <w:t xml:space="preserve"> moral </w:t>
            </w:r>
            <w:proofErr w:type="spellStart"/>
            <w:r w:rsidRPr="008D728A">
              <w:rPr>
                <w:sz w:val="20"/>
                <w:szCs w:val="20"/>
              </w:rPr>
              <w:t>și</w:t>
            </w:r>
            <w:proofErr w:type="spellEnd"/>
            <w:r w:rsidRPr="008D728A">
              <w:rPr>
                <w:sz w:val="20"/>
                <w:szCs w:val="20"/>
              </w:rPr>
              <w:t xml:space="preserve"> 1500 euro cu </w:t>
            </w:r>
            <w:proofErr w:type="spellStart"/>
            <w:r w:rsidRPr="008D728A">
              <w:rPr>
                <w:sz w:val="20"/>
                <w:szCs w:val="20"/>
              </w:rPr>
              <w:t>titlu</w:t>
            </w:r>
            <w:proofErr w:type="spellEnd"/>
            <w:r w:rsidRPr="008D728A">
              <w:rPr>
                <w:sz w:val="20"/>
                <w:szCs w:val="20"/>
              </w:rPr>
              <w:t xml:space="preserve"> de </w:t>
            </w:r>
            <w:proofErr w:type="spellStart"/>
            <w:r w:rsidRPr="008D728A">
              <w:rPr>
                <w:sz w:val="20"/>
                <w:szCs w:val="20"/>
              </w:rPr>
              <w:t>costuri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și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cheltuieli</w:t>
            </w:r>
            <w:proofErr w:type="spellEnd"/>
            <w:r w:rsidRPr="008D728A">
              <w:rPr>
                <w:sz w:val="20"/>
                <w:szCs w:val="20"/>
              </w:rPr>
              <w:t>.</w:t>
            </w:r>
          </w:p>
        </w:tc>
        <w:tc>
          <w:tcPr>
            <w:tcW w:w="4501" w:type="dxa"/>
          </w:tcPr>
          <w:p w:rsidR="002D4D1A" w:rsidRPr="008D728A" w:rsidRDefault="00286DF3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D728A">
              <w:rPr>
                <w:sz w:val="20"/>
                <w:szCs w:val="20"/>
                <w:lang w:val="ro-RO"/>
              </w:rPr>
              <w:t xml:space="preserve">Problemă de sistem </w:t>
            </w:r>
            <w:r w:rsidRPr="008D728A">
              <w:rPr>
                <w:sz w:val="20"/>
                <w:szCs w:val="20"/>
                <w:lang w:val="ro-RO"/>
              </w:rPr>
              <w:br/>
            </w:r>
            <w:r w:rsidRPr="008D728A">
              <w:rPr>
                <w:sz w:val="20"/>
                <w:szCs w:val="20"/>
                <w:lang w:val="ro-RO"/>
              </w:rPr>
              <w:br/>
              <w:t xml:space="preserve">Cu privire la încălcarea Articolului 5 § 1: Curtea de Apel Chișinău </w:t>
            </w:r>
            <w:r w:rsidRPr="008D728A">
              <w:rPr>
                <w:sz w:val="20"/>
                <w:szCs w:val="20"/>
              </w:rPr>
              <w:sym w:font="Symbol" w:char="F0B7"/>
            </w:r>
            <w:r w:rsidRPr="008D728A">
              <w:rPr>
                <w:sz w:val="20"/>
                <w:szCs w:val="20"/>
                <w:lang w:val="ro-RO"/>
              </w:rPr>
              <w:t xml:space="preserve"> </w:t>
            </w:r>
            <w:r w:rsidRPr="008D728A">
              <w:rPr>
                <w:sz w:val="20"/>
                <w:szCs w:val="20"/>
                <w:highlight w:val="yellow"/>
                <w:lang w:val="ro-RO"/>
              </w:rPr>
              <w:t>Judecătorii Liliana Catan</w:t>
            </w:r>
            <w:r w:rsidRPr="008D728A">
              <w:rPr>
                <w:sz w:val="20"/>
                <w:szCs w:val="20"/>
                <w:lang w:val="ro-RO"/>
              </w:rPr>
              <w:t>, Anatolii Minciună și Veronica Sandu (încheierea din 13 septembrie 2010</w:t>
            </w:r>
            <w:r w:rsidRPr="008D728A">
              <w:rPr>
                <w:sz w:val="20"/>
                <w:szCs w:val="20"/>
                <w:lang w:val="ro-RO"/>
              </w:rPr>
              <w:br/>
              <w:t xml:space="preserve">Curtea Supremă de Justiție </w:t>
            </w:r>
            <w:r w:rsidRPr="008D728A">
              <w:rPr>
                <w:sz w:val="20"/>
                <w:szCs w:val="20"/>
                <w:lang w:val="ro-RO"/>
              </w:rPr>
              <w:br/>
            </w:r>
            <w:r w:rsidRPr="008D728A">
              <w:rPr>
                <w:sz w:val="20"/>
                <w:szCs w:val="20"/>
              </w:rPr>
              <w:sym w:font="Symbol" w:char="F0B7"/>
            </w:r>
            <w:r w:rsidRPr="008D728A">
              <w:rPr>
                <w:sz w:val="20"/>
                <w:szCs w:val="20"/>
                <w:lang w:val="ro-RO"/>
              </w:rPr>
              <w:t xml:space="preserve"> Judecătorii Olga Adam, Nicolae Gordila și Vladimir Timofti (decizia din 23 septembrie 2010). </w:t>
            </w:r>
            <w:r w:rsidRPr="008D728A">
              <w:rPr>
                <w:sz w:val="20"/>
                <w:szCs w:val="20"/>
                <w:lang w:val="ro-RO"/>
              </w:rPr>
              <w:br/>
            </w:r>
            <w:r w:rsidRPr="008D728A">
              <w:rPr>
                <w:sz w:val="20"/>
                <w:szCs w:val="20"/>
              </w:rPr>
              <w:sym w:font="Symbol" w:char="F0B7"/>
            </w:r>
            <w:r w:rsidRPr="008D728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Judecătorii</w:t>
            </w:r>
            <w:proofErr w:type="spellEnd"/>
            <w:r w:rsidRPr="008D728A">
              <w:rPr>
                <w:sz w:val="20"/>
                <w:szCs w:val="20"/>
              </w:rPr>
              <w:t xml:space="preserve"> Olga Adam, Tudor </w:t>
            </w:r>
            <w:proofErr w:type="spellStart"/>
            <w:r w:rsidRPr="008D728A">
              <w:rPr>
                <w:sz w:val="20"/>
                <w:szCs w:val="20"/>
              </w:rPr>
              <w:t>Popovici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și</w:t>
            </w:r>
            <w:proofErr w:type="spellEnd"/>
            <w:r w:rsidRPr="008D728A">
              <w:rPr>
                <w:sz w:val="20"/>
                <w:szCs w:val="20"/>
              </w:rPr>
              <w:t xml:space="preserve"> Tatiana </w:t>
            </w:r>
            <w:proofErr w:type="spellStart"/>
            <w:r w:rsidRPr="008D728A">
              <w:rPr>
                <w:sz w:val="20"/>
                <w:szCs w:val="20"/>
              </w:rPr>
              <w:t>Răducanu</w:t>
            </w:r>
            <w:proofErr w:type="spellEnd"/>
            <w:r w:rsidRPr="008D728A">
              <w:rPr>
                <w:sz w:val="20"/>
                <w:szCs w:val="20"/>
              </w:rPr>
              <w:t xml:space="preserve"> (</w:t>
            </w:r>
            <w:proofErr w:type="spellStart"/>
            <w:r w:rsidRPr="008D728A">
              <w:rPr>
                <w:sz w:val="20"/>
                <w:szCs w:val="20"/>
              </w:rPr>
              <w:t>decizia</w:t>
            </w:r>
            <w:proofErr w:type="spellEnd"/>
            <w:r w:rsidRPr="008D728A">
              <w:rPr>
                <w:sz w:val="20"/>
                <w:szCs w:val="20"/>
              </w:rPr>
              <w:t xml:space="preserve"> din 13 </w:t>
            </w:r>
            <w:proofErr w:type="spellStart"/>
            <w:r w:rsidRPr="008D728A">
              <w:rPr>
                <w:sz w:val="20"/>
                <w:szCs w:val="20"/>
              </w:rPr>
              <w:t>ianuarie</w:t>
            </w:r>
            <w:proofErr w:type="spellEnd"/>
            <w:r w:rsidRPr="008D728A">
              <w:rPr>
                <w:sz w:val="20"/>
                <w:szCs w:val="20"/>
              </w:rPr>
              <w:t xml:space="preserve"> 2011). </w:t>
            </w:r>
            <w:r w:rsidRPr="008D728A">
              <w:rPr>
                <w:sz w:val="20"/>
                <w:szCs w:val="20"/>
              </w:rPr>
              <w:br/>
            </w:r>
            <w:r w:rsidRPr="008D728A">
              <w:rPr>
                <w:sz w:val="20"/>
                <w:szCs w:val="20"/>
              </w:rPr>
              <w:sym w:font="Symbol" w:char="F0B7"/>
            </w:r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Judecătorii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Petru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Ursache</w:t>
            </w:r>
            <w:proofErr w:type="spellEnd"/>
            <w:r w:rsidRPr="008D728A">
              <w:rPr>
                <w:sz w:val="20"/>
                <w:szCs w:val="20"/>
              </w:rPr>
              <w:t xml:space="preserve">, </w:t>
            </w:r>
            <w:proofErr w:type="spellStart"/>
            <w:r w:rsidRPr="008D728A">
              <w:rPr>
                <w:sz w:val="20"/>
                <w:szCs w:val="20"/>
              </w:rPr>
              <w:t>Nicolae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Gordila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și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Iurie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Diaconu</w:t>
            </w:r>
            <w:proofErr w:type="spellEnd"/>
            <w:r w:rsidRPr="008D728A">
              <w:rPr>
                <w:sz w:val="20"/>
                <w:szCs w:val="20"/>
              </w:rPr>
              <w:t xml:space="preserve"> (</w:t>
            </w:r>
            <w:proofErr w:type="spellStart"/>
            <w:r w:rsidRPr="008D728A">
              <w:rPr>
                <w:sz w:val="20"/>
                <w:szCs w:val="20"/>
              </w:rPr>
              <w:t>decizia</w:t>
            </w:r>
            <w:proofErr w:type="spellEnd"/>
            <w:r w:rsidRPr="008D728A">
              <w:rPr>
                <w:sz w:val="20"/>
                <w:szCs w:val="20"/>
              </w:rPr>
              <w:t xml:space="preserve"> din 6 </w:t>
            </w:r>
            <w:proofErr w:type="spellStart"/>
            <w:r w:rsidRPr="008D728A">
              <w:rPr>
                <w:sz w:val="20"/>
                <w:szCs w:val="20"/>
              </w:rPr>
              <w:t>octombrie</w:t>
            </w:r>
            <w:proofErr w:type="spellEnd"/>
            <w:r w:rsidRPr="008D728A">
              <w:rPr>
                <w:sz w:val="20"/>
                <w:szCs w:val="20"/>
              </w:rPr>
              <w:t xml:space="preserve"> 2011). </w:t>
            </w:r>
            <w:r w:rsidR="006B3D7F" w:rsidRPr="008D728A">
              <w:rPr>
                <w:sz w:val="20"/>
                <w:szCs w:val="20"/>
              </w:rPr>
              <w:br/>
            </w:r>
            <w:r w:rsidR="006B3D7F" w:rsidRPr="008D728A">
              <w:rPr>
                <w:sz w:val="20"/>
                <w:szCs w:val="20"/>
              </w:rPr>
              <w:br/>
            </w:r>
            <w:r w:rsidRPr="008D728A">
              <w:rPr>
                <w:sz w:val="20"/>
                <w:szCs w:val="20"/>
              </w:rPr>
              <w:t xml:space="preserve">Cu </w:t>
            </w:r>
            <w:proofErr w:type="spellStart"/>
            <w:r w:rsidRPr="008D728A">
              <w:rPr>
                <w:sz w:val="20"/>
                <w:szCs w:val="20"/>
              </w:rPr>
              <w:t>privire</w:t>
            </w:r>
            <w:proofErr w:type="spellEnd"/>
            <w:r w:rsidRPr="008D728A">
              <w:rPr>
                <w:sz w:val="20"/>
                <w:szCs w:val="20"/>
              </w:rPr>
              <w:t xml:space="preserve"> la </w:t>
            </w:r>
            <w:proofErr w:type="spellStart"/>
            <w:r w:rsidRPr="008D728A">
              <w:rPr>
                <w:sz w:val="20"/>
                <w:szCs w:val="20"/>
              </w:rPr>
              <w:t>încălcarea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Articolului</w:t>
            </w:r>
            <w:proofErr w:type="spellEnd"/>
            <w:r w:rsidRPr="008D728A">
              <w:rPr>
                <w:sz w:val="20"/>
                <w:szCs w:val="20"/>
              </w:rPr>
              <w:t xml:space="preserve"> 6 § 1: </w:t>
            </w:r>
            <w:r w:rsidR="006B3D7F" w:rsidRPr="008D728A">
              <w:rPr>
                <w:sz w:val="20"/>
                <w:szCs w:val="20"/>
              </w:rPr>
              <w:br/>
            </w:r>
            <w:proofErr w:type="spellStart"/>
            <w:r w:rsidRPr="008D728A">
              <w:rPr>
                <w:sz w:val="20"/>
                <w:szCs w:val="20"/>
              </w:rPr>
              <w:t>Curtea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Supremă</w:t>
            </w:r>
            <w:proofErr w:type="spellEnd"/>
            <w:r w:rsidRPr="008D728A">
              <w:rPr>
                <w:sz w:val="20"/>
                <w:szCs w:val="20"/>
              </w:rPr>
              <w:t xml:space="preserve"> de </w:t>
            </w:r>
            <w:proofErr w:type="spellStart"/>
            <w:r w:rsidRPr="008D728A">
              <w:rPr>
                <w:sz w:val="20"/>
                <w:szCs w:val="20"/>
              </w:rPr>
              <w:t>Justiție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Judecătorii</w:t>
            </w:r>
            <w:proofErr w:type="spellEnd"/>
            <w:r w:rsidRPr="008D728A">
              <w:rPr>
                <w:sz w:val="20"/>
                <w:szCs w:val="20"/>
              </w:rPr>
              <w:t xml:space="preserve"> Andrei </w:t>
            </w:r>
            <w:proofErr w:type="spellStart"/>
            <w:r w:rsidRPr="008D728A">
              <w:rPr>
                <w:sz w:val="20"/>
                <w:szCs w:val="20"/>
              </w:rPr>
              <w:t>Harghel</w:t>
            </w:r>
            <w:proofErr w:type="spellEnd"/>
            <w:r w:rsidRPr="008D728A">
              <w:rPr>
                <w:sz w:val="20"/>
                <w:szCs w:val="20"/>
              </w:rPr>
              <w:t xml:space="preserve">, </w:t>
            </w:r>
            <w:proofErr w:type="spellStart"/>
            <w:r w:rsidRPr="008D728A">
              <w:rPr>
                <w:sz w:val="20"/>
                <w:szCs w:val="20"/>
              </w:rPr>
              <w:t>Sveatoslav</w:t>
            </w:r>
            <w:proofErr w:type="spellEnd"/>
            <w:r w:rsidRPr="008D728A">
              <w:rPr>
                <w:sz w:val="20"/>
                <w:szCs w:val="20"/>
              </w:rPr>
              <w:t xml:space="preserve"> Moldovan, </w:t>
            </w:r>
            <w:proofErr w:type="spellStart"/>
            <w:r w:rsidRPr="008D728A">
              <w:rPr>
                <w:sz w:val="20"/>
                <w:szCs w:val="20"/>
              </w:rPr>
              <w:t>Nicolae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Clima</w:t>
            </w:r>
            <w:proofErr w:type="spellEnd"/>
            <w:r w:rsidRPr="008D728A">
              <w:rPr>
                <w:sz w:val="20"/>
                <w:szCs w:val="20"/>
              </w:rPr>
              <w:t xml:space="preserve">, Tamara </w:t>
            </w:r>
            <w:proofErr w:type="spellStart"/>
            <w:r w:rsidRPr="008D728A">
              <w:rPr>
                <w:sz w:val="20"/>
                <w:szCs w:val="20"/>
              </w:rPr>
              <w:t>Chișcă-Doneva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proofErr w:type="spellStart"/>
            <w:r w:rsidRPr="008D728A">
              <w:rPr>
                <w:sz w:val="20"/>
                <w:szCs w:val="20"/>
              </w:rPr>
              <w:t>și</w:t>
            </w:r>
            <w:proofErr w:type="spellEnd"/>
            <w:r w:rsidRPr="008D728A">
              <w:rPr>
                <w:sz w:val="20"/>
                <w:szCs w:val="20"/>
              </w:rPr>
              <w:t xml:space="preserve"> Valentina </w:t>
            </w:r>
            <w:proofErr w:type="spellStart"/>
            <w:r w:rsidRPr="008D728A">
              <w:rPr>
                <w:sz w:val="20"/>
                <w:szCs w:val="20"/>
              </w:rPr>
              <w:t>Clevadî</w:t>
            </w:r>
            <w:proofErr w:type="spellEnd"/>
            <w:r w:rsidRPr="008D728A">
              <w:rPr>
                <w:sz w:val="20"/>
                <w:szCs w:val="20"/>
              </w:rPr>
              <w:t xml:space="preserve"> </w:t>
            </w:r>
            <w:r w:rsidR="006B3D7F" w:rsidRPr="008D728A">
              <w:rPr>
                <w:sz w:val="20"/>
                <w:szCs w:val="20"/>
              </w:rPr>
              <w:t>(</w:t>
            </w:r>
            <w:proofErr w:type="spellStart"/>
            <w:r w:rsidR="006B3D7F" w:rsidRPr="008D728A">
              <w:rPr>
                <w:sz w:val="20"/>
                <w:szCs w:val="20"/>
              </w:rPr>
              <w:t>decizia</w:t>
            </w:r>
            <w:proofErr w:type="spellEnd"/>
            <w:r w:rsidR="006B3D7F" w:rsidRPr="008D728A">
              <w:rPr>
                <w:sz w:val="20"/>
                <w:szCs w:val="20"/>
              </w:rPr>
              <w:t xml:space="preserve"> din 21 </w:t>
            </w:r>
            <w:proofErr w:type="spellStart"/>
            <w:r w:rsidR="006B3D7F" w:rsidRPr="008D728A">
              <w:rPr>
                <w:sz w:val="20"/>
                <w:szCs w:val="20"/>
              </w:rPr>
              <w:t>decembrie</w:t>
            </w:r>
            <w:proofErr w:type="spellEnd"/>
            <w:r w:rsidR="006B3D7F" w:rsidRPr="008D728A">
              <w:rPr>
                <w:sz w:val="20"/>
                <w:szCs w:val="20"/>
              </w:rPr>
              <w:t xml:space="preserve"> 2012 </w:t>
            </w:r>
            <w:proofErr w:type="spellStart"/>
            <w:r w:rsidR="006B3D7F" w:rsidRPr="008D728A">
              <w:rPr>
                <w:sz w:val="20"/>
                <w:szCs w:val="20"/>
              </w:rPr>
              <w:t>prin</w:t>
            </w:r>
            <w:proofErr w:type="spellEnd"/>
            <w:r w:rsidR="006B3D7F" w:rsidRPr="008D728A">
              <w:rPr>
                <w:sz w:val="20"/>
                <w:szCs w:val="20"/>
              </w:rPr>
              <w:t xml:space="preserve"> care a </w:t>
            </w:r>
            <w:proofErr w:type="spellStart"/>
            <w:r w:rsidR="006B3D7F" w:rsidRPr="008D728A">
              <w:rPr>
                <w:sz w:val="20"/>
                <w:szCs w:val="20"/>
              </w:rPr>
              <w:t>fost</w:t>
            </w:r>
            <w:proofErr w:type="spellEnd"/>
            <w:r w:rsidR="006B3D7F" w:rsidRPr="008D728A">
              <w:rPr>
                <w:sz w:val="20"/>
                <w:szCs w:val="20"/>
              </w:rPr>
              <w:t xml:space="preserve"> </w:t>
            </w:r>
            <w:proofErr w:type="spellStart"/>
            <w:r w:rsidR="006B3D7F" w:rsidRPr="008D728A">
              <w:rPr>
                <w:sz w:val="20"/>
                <w:szCs w:val="20"/>
              </w:rPr>
              <w:t>admis</w:t>
            </w:r>
            <w:proofErr w:type="spellEnd"/>
            <w:r w:rsidR="006B3D7F" w:rsidRPr="008D728A">
              <w:rPr>
                <w:sz w:val="20"/>
                <w:szCs w:val="20"/>
              </w:rPr>
              <w:t xml:space="preserve"> </w:t>
            </w:r>
            <w:proofErr w:type="spellStart"/>
            <w:r w:rsidR="006B3D7F" w:rsidRPr="008D728A">
              <w:rPr>
                <w:sz w:val="20"/>
                <w:szCs w:val="20"/>
              </w:rPr>
              <w:t>recursul</w:t>
            </w:r>
            <w:proofErr w:type="spellEnd"/>
            <w:r w:rsidR="006B3D7F" w:rsidRPr="008D728A">
              <w:rPr>
                <w:sz w:val="20"/>
                <w:szCs w:val="20"/>
              </w:rPr>
              <w:t xml:space="preserve"> </w:t>
            </w:r>
            <w:proofErr w:type="spellStart"/>
            <w:r w:rsidR="006B3D7F" w:rsidRPr="008D728A">
              <w:rPr>
                <w:sz w:val="20"/>
                <w:szCs w:val="20"/>
              </w:rPr>
              <w:t>tardiv</w:t>
            </w:r>
            <w:proofErr w:type="spellEnd"/>
            <w:r w:rsidR="006B3D7F" w:rsidRPr="008D728A">
              <w:rPr>
                <w:sz w:val="20"/>
                <w:szCs w:val="20"/>
              </w:rPr>
              <w:t xml:space="preserve"> al </w:t>
            </w:r>
            <w:proofErr w:type="spellStart"/>
            <w:r w:rsidR="006B3D7F" w:rsidRPr="008D728A">
              <w:rPr>
                <w:sz w:val="20"/>
                <w:szCs w:val="20"/>
              </w:rPr>
              <w:t>procurorului</w:t>
            </w:r>
            <w:proofErr w:type="spellEnd"/>
            <w:r w:rsidR="006B3D7F" w:rsidRPr="008D728A">
              <w:rPr>
                <w:sz w:val="20"/>
                <w:szCs w:val="20"/>
              </w:rPr>
              <w:t>).</w:t>
            </w:r>
          </w:p>
        </w:tc>
      </w:tr>
      <w:tr w:rsidR="002732AA" w:rsidRPr="008D728A" w:rsidTr="00286DF3">
        <w:trPr>
          <w:trHeight w:val="422"/>
        </w:trPr>
        <w:tc>
          <w:tcPr>
            <w:tcW w:w="1619" w:type="dxa"/>
          </w:tcPr>
          <w:p w:rsidR="002732AA" w:rsidRPr="003500F4" w:rsidRDefault="002732AA" w:rsidP="002732AA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cstheme="minorHAnsi"/>
                <w:b/>
                <w:sz w:val="20"/>
                <w:szCs w:val="20"/>
              </w:rPr>
              <w:t xml:space="preserve">DOGOTAR contra </w:t>
            </w:r>
            <w:proofErr w:type="spellStart"/>
            <w:r w:rsidRPr="003500F4">
              <w:rPr>
                <w:rFonts w:cstheme="minorHAnsi"/>
                <w:b/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1080" w:type="dxa"/>
          </w:tcPr>
          <w:p w:rsidR="002732AA" w:rsidRPr="003500F4" w:rsidRDefault="002732AA" w:rsidP="002732AA">
            <w:pPr>
              <w:ind w:left="-144" w:right="-108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cstheme="minorHAnsi"/>
                <w:sz w:val="20"/>
                <w:szCs w:val="20"/>
              </w:rPr>
              <w:t>04.09.2018</w:t>
            </w:r>
          </w:p>
        </w:tc>
        <w:tc>
          <w:tcPr>
            <w:tcW w:w="1171" w:type="dxa"/>
          </w:tcPr>
          <w:p w:rsidR="002732AA" w:rsidRPr="003500F4" w:rsidRDefault="002732AA" w:rsidP="002732AA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cstheme="minorHAnsi"/>
                <w:sz w:val="20"/>
                <w:szCs w:val="20"/>
              </w:rPr>
              <w:t>12653/15</w:t>
            </w:r>
          </w:p>
        </w:tc>
        <w:tc>
          <w:tcPr>
            <w:tcW w:w="5129" w:type="dxa"/>
          </w:tcPr>
          <w:p w:rsidR="002732AA" w:rsidRPr="003500F4" w:rsidRDefault="002732AA" w:rsidP="002732AA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3500F4">
              <w:rPr>
                <w:rFonts w:cstheme="minorHAnsi"/>
                <w:sz w:val="20"/>
                <w:szCs w:val="20"/>
                <w:lang w:val="ro-RO"/>
              </w:rPr>
              <w:t>Articolele 5 § 1 și 8 din Convenție, reclamantul s-a plâns în fața Curții de internarea sa forțată într-o instituție psihiatrică timp de șapte zile în lipsa garanțiilor prevăzute de către legislația națională pentru în acest sens.</w:t>
            </w:r>
          </w:p>
        </w:tc>
        <w:tc>
          <w:tcPr>
            <w:tcW w:w="1890" w:type="dxa"/>
          </w:tcPr>
          <w:p w:rsidR="002732AA" w:rsidRPr="003500F4" w:rsidRDefault="002732AA" w:rsidP="002732AA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3500F4">
              <w:rPr>
                <w:rFonts w:cstheme="minorHAnsi"/>
                <w:sz w:val="20"/>
                <w:szCs w:val="20"/>
              </w:rPr>
              <w:t>Curtea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concluzionat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că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avut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loc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încălcarea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Articolului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5 § 1 din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Convenție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acordând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reclamantului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6000 de euro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în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calitate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r w:rsidRPr="003500F4">
              <w:rPr>
                <w:rFonts w:cstheme="minorHAnsi"/>
                <w:sz w:val="20"/>
                <w:szCs w:val="20"/>
              </w:rPr>
              <w:lastRenderedPageBreak/>
              <w:t xml:space="preserve">de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despăgubire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pentru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prejudiciul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moral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și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1680 euro cu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titlu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costuri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și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cheltuieli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01" w:type="dxa"/>
          </w:tcPr>
          <w:p w:rsidR="002732AA" w:rsidRPr="003500F4" w:rsidRDefault="002732AA" w:rsidP="002732AA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3500F4">
              <w:rPr>
                <w:rFonts w:cstheme="minorHAnsi"/>
                <w:b/>
                <w:sz w:val="20"/>
                <w:szCs w:val="20"/>
              </w:rPr>
              <w:lastRenderedPageBreak/>
              <w:t>Procuratura</w:t>
            </w:r>
            <w:proofErr w:type="spellEnd"/>
            <w:r w:rsidRPr="003500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b/>
                <w:sz w:val="20"/>
                <w:szCs w:val="20"/>
              </w:rPr>
              <w:t>Glodeni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500F4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numit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expertiza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medico-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legală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psihiatrico-psihologică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500F4">
              <w:rPr>
                <w:rFonts w:cstheme="minorHAnsi"/>
                <w:sz w:val="20"/>
                <w:szCs w:val="20"/>
              </w:rPr>
              <w:t xml:space="preserve">Ion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Creșciuc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cstheme="minorHAnsi"/>
                <w:b/>
                <w:sz w:val="20"/>
                <w:szCs w:val="20"/>
              </w:rPr>
              <w:t>Judecătoria</w:t>
            </w:r>
            <w:proofErr w:type="spellEnd"/>
            <w:r w:rsidRPr="003500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b/>
                <w:sz w:val="20"/>
                <w:szCs w:val="20"/>
              </w:rPr>
              <w:t>Glodenia</w:t>
            </w:r>
            <w:proofErr w:type="spellEnd"/>
            <w:r w:rsidRPr="003500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b/>
                <w:sz w:val="20"/>
                <w:szCs w:val="20"/>
              </w:rPr>
              <w:t>admis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demersul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procuraturii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numire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3500F4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expertizei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psihiatrice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staționare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500F4">
              <w:rPr>
                <w:rFonts w:cstheme="minorHAnsi"/>
                <w:sz w:val="20"/>
                <w:szCs w:val="20"/>
              </w:rPr>
              <w:t xml:space="preserve"> Tamara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Boubatrîn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cstheme="minorHAnsi"/>
                <w:b/>
                <w:sz w:val="20"/>
                <w:szCs w:val="20"/>
              </w:rPr>
              <w:lastRenderedPageBreak/>
              <w:t>Curtea</w:t>
            </w:r>
            <w:proofErr w:type="spellEnd"/>
            <w:r w:rsidRPr="003500F4">
              <w:rPr>
                <w:rFonts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cstheme="minorHAnsi"/>
                <w:b/>
                <w:sz w:val="20"/>
                <w:szCs w:val="20"/>
              </w:rPr>
              <w:t>Apel</w:t>
            </w:r>
            <w:proofErr w:type="spellEnd"/>
            <w:r w:rsidRPr="003500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b/>
                <w:sz w:val="20"/>
                <w:szCs w:val="20"/>
              </w:rPr>
              <w:t>Bălți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respins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ca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nefondat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recursul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reclamantului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împotriva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încheierii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Judecătoriei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Glodeni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2732AA">
              <w:rPr>
                <w:rFonts w:cstheme="minorHAnsi"/>
                <w:sz w:val="20"/>
                <w:szCs w:val="20"/>
              </w:rPr>
              <w:t xml:space="preserve">Ala </w:t>
            </w:r>
            <w:proofErr w:type="spellStart"/>
            <w:r w:rsidRPr="002732AA">
              <w:rPr>
                <w:rFonts w:cstheme="minorHAnsi"/>
                <w:sz w:val="20"/>
                <w:szCs w:val="20"/>
              </w:rPr>
              <w:t>Rotaru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Ruslana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Bordeniuc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Dumitru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Pușca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cstheme="minorHAnsi"/>
                <w:b/>
                <w:sz w:val="20"/>
                <w:szCs w:val="20"/>
              </w:rPr>
              <w:t>Curtea</w:t>
            </w:r>
            <w:proofErr w:type="spellEnd"/>
            <w:r w:rsidRPr="003500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b/>
                <w:sz w:val="20"/>
                <w:szCs w:val="20"/>
              </w:rPr>
              <w:t>Supremă</w:t>
            </w:r>
            <w:proofErr w:type="spellEnd"/>
            <w:r w:rsidRPr="003500F4">
              <w:rPr>
                <w:rFonts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cstheme="minorHAnsi"/>
                <w:b/>
                <w:sz w:val="20"/>
                <w:szCs w:val="20"/>
              </w:rPr>
              <w:t>Justiție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respins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recursul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reclamantului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menținând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decizia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Curții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Apel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Bălți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Nicolae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Gordillă</w:t>
            </w:r>
            <w:proofErr w:type="spellEnd"/>
            <w:r w:rsidRPr="003500F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2732AA">
              <w:rPr>
                <w:rFonts w:cstheme="minorHAnsi"/>
                <w:sz w:val="20"/>
                <w:szCs w:val="20"/>
                <w:highlight w:val="yellow"/>
              </w:rPr>
              <w:t xml:space="preserve">Liliana </w:t>
            </w:r>
            <w:proofErr w:type="spellStart"/>
            <w:r w:rsidRPr="002732AA">
              <w:rPr>
                <w:rFonts w:cstheme="minorHAnsi"/>
                <w:sz w:val="20"/>
                <w:szCs w:val="20"/>
                <w:highlight w:val="yellow"/>
              </w:rPr>
              <w:t>Catan</w:t>
            </w:r>
            <w:proofErr w:type="spellEnd"/>
            <w:r>
              <w:rPr>
                <w:rFonts w:cstheme="minorHAnsi"/>
                <w:sz w:val="20"/>
                <w:szCs w:val="20"/>
              </w:rPr>
              <w:br/>
            </w:r>
            <w:r w:rsidRPr="003500F4">
              <w:rPr>
                <w:rFonts w:cstheme="minorHAnsi"/>
                <w:sz w:val="20"/>
                <w:szCs w:val="20"/>
              </w:rPr>
              <w:t xml:space="preserve"> Ion </w:t>
            </w:r>
            <w:proofErr w:type="spellStart"/>
            <w:r w:rsidRPr="003500F4">
              <w:rPr>
                <w:rFonts w:cstheme="minorHAnsi"/>
                <w:sz w:val="20"/>
                <w:szCs w:val="20"/>
              </w:rPr>
              <w:t>Guzun</w:t>
            </w:r>
            <w:proofErr w:type="spellEnd"/>
          </w:p>
        </w:tc>
      </w:tr>
    </w:tbl>
    <w:p w:rsidR="00B87AF7" w:rsidRPr="008D728A" w:rsidRDefault="00B87AF7">
      <w:pPr>
        <w:rPr>
          <w:sz w:val="20"/>
          <w:szCs w:val="20"/>
        </w:rPr>
      </w:pPr>
    </w:p>
    <w:sectPr w:rsidR="00B87AF7" w:rsidRPr="008D728A" w:rsidSect="002D4D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8"/>
    <w:rsid w:val="00075D14"/>
    <w:rsid w:val="002732AA"/>
    <w:rsid w:val="00286DF3"/>
    <w:rsid w:val="002D4D1A"/>
    <w:rsid w:val="00374479"/>
    <w:rsid w:val="00474396"/>
    <w:rsid w:val="0049409E"/>
    <w:rsid w:val="006A74C4"/>
    <w:rsid w:val="006B3D7F"/>
    <w:rsid w:val="00794038"/>
    <w:rsid w:val="00853911"/>
    <w:rsid w:val="008D728A"/>
    <w:rsid w:val="009267BA"/>
    <w:rsid w:val="009463F9"/>
    <w:rsid w:val="00A65AAD"/>
    <w:rsid w:val="00B15ABC"/>
    <w:rsid w:val="00B87AF7"/>
    <w:rsid w:val="00C569B3"/>
    <w:rsid w:val="00D3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589AC-8794-4383-8883-EFEA03FF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9463F9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9463F9"/>
    <w:pPr>
      <w:widowControl w:val="0"/>
      <w:shd w:val="clear" w:color="auto" w:fill="FFFFFF"/>
      <w:spacing w:after="180" w:line="207" w:lineRule="exact"/>
      <w:jc w:val="center"/>
    </w:pPr>
    <w:rPr>
      <w:b/>
      <w:bCs/>
      <w:sz w:val="16"/>
      <w:szCs w:val="16"/>
    </w:rPr>
  </w:style>
  <w:style w:type="character" w:styleId="Strong">
    <w:name w:val="Strong"/>
    <w:basedOn w:val="DefaultParagraphFont"/>
    <w:qFormat/>
    <w:rsid w:val="00946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dcterms:created xsi:type="dcterms:W3CDTF">2020-02-27T13:25:00Z</dcterms:created>
  <dcterms:modified xsi:type="dcterms:W3CDTF">2020-02-27T13:26:00Z</dcterms:modified>
</cp:coreProperties>
</file>