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FF2621" w:rsidRPr="00910FCD" w:rsidTr="009A301A">
        <w:tc>
          <w:tcPr>
            <w:tcW w:w="2582" w:type="dxa"/>
          </w:tcPr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BOICENCO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FF2621" w:rsidRPr="00910FCD" w:rsidRDefault="00FF2621" w:rsidP="005D723F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11.07.2006</w:t>
            </w:r>
          </w:p>
        </w:tc>
        <w:tc>
          <w:tcPr>
            <w:tcW w:w="738" w:type="dxa"/>
          </w:tcPr>
          <w:p w:rsidR="00FF2621" w:rsidRPr="00910FCD" w:rsidRDefault="00FF2621" w:rsidP="005D723F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41088/05</w:t>
            </w:r>
          </w:p>
        </w:tc>
        <w:tc>
          <w:tcPr>
            <w:tcW w:w="4425" w:type="dxa"/>
          </w:tcPr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art.3 al Convenţiei (interzicerea torturii) – maltratarea reclamantului de către angajaţii Centrului pentru Combaterea Crimelor Economice şi a Corupţiei; neacordarea asistenţei medicale necesare pe durata detenţiei reclamantului, care se afla în stare de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stupor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respingerea, fără a efectua o cercetare, a plângerilor privind maltratarea reclamantului de către acelaşi procuror care instrumenta cauze penală împotriva reclamantului; violarea art. 5 § 1 al Convenţiei -  lipsirea de libertate a reclamantului, fără un mandat legal, după transmiterea dosarului penal în instanţa de judecată spre examinare (timp de peste 5 luni); violarea art. 5 § 3 al Convenţiei (garanţiile în cadrul procedurilor privind lipsirea de libertate) - motivarea insuficientă a deciziilor de eliberare şi prelungire a mandatului de arest şi a deciziilor de respingere a recursurilor apărării la aceste decizii; violarea art. 5 § 3 al Convenţiei (prezumţia de libertate) - datorită gravităţii învinuirilor, prevederile art. 191 al Codului de Procedură Penală obligau arestarea reclamantului; violarea art. 34 al Convenţiei (dreptul de a depune o cerere la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) – refuzul autorităţilor de a permite avocaţilor reclamantului de a avea acces la reclamant şi la fişa sa medicală, ceea ce i-a împiedicat să prezinte Curţii, în numele reclamantului, pretenţiile cu privire la prejudiciile materiale.</w:t>
            </w:r>
          </w:p>
        </w:tc>
        <w:tc>
          <w:tcPr>
            <w:tcW w:w="2239" w:type="dxa"/>
          </w:tcPr>
          <w:p w:rsidR="00FF2621" w:rsidRPr="00910FCD" w:rsidRDefault="00FF2621" w:rsidP="005D723F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mater.-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rezervat pentru o hotărâre separată</w:t>
            </w:r>
          </w:p>
          <w:p w:rsidR="00FF2621" w:rsidRPr="00910FCD" w:rsidRDefault="00FF2621" w:rsidP="005D723F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€ 40,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FF2621" w:rsidRPr="00910FCD" w:rsidRDefault="00FF2621" w:rsidP="005D723F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823</w:t>
            </w:r>
          </w:p>
        </w:tc>
        <w:tc>
          <w:tcPr>
            <w:tcW w:w="4214" w:type="dxa"/>
          </w:tcPr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Responsabil de reţinerea reclamantului - locotenent-colonelul Marina MACOVEI, ofiţer superior la CCCEC;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maltratarea reclamantului – persoane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neindentificate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din cadrul CCCEC;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neînceperea urmăririi penale cu privire la maltratare reclamantului - Nicolae CATANĂ, procuror, Secţia Conducerii urmărire Penală în organele centrale ale CCCEC, SIS şi Departamentul Vamal;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(d) refuzul de a anula rezoluţia de neîncepere a urmării penale - Ghenadie MOROZAN, judecător de instrucţie, (judecătoria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mun. Chişinău);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(e) nemotivarea necesitaţii arestului - Ion MOROZAN, judecător de instrucţie (judecătoria Buiucani, municipiul Chişinău); Ghenadie NICOLAEV, Gheorghe STRATAN şi Mihai BURUIAN, judecători, Curtea de Apel Chişinău;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(f) deţinerea reclamantului după 23.07.2005 fără mandat legal – Dorin POPOVICI, </w:t>
            </w:r>
            <w:r w:rsidRPr="00010E5E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Silvia GÎRBU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şi Mihail DIACONU, judecători, judecătoria Buiucani, mun. Chişinău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(g) neacordarea asistenţei medicale strict necesare – conducerea Spitalului Republican cu Profil Larg al Departamentului Instituţiilor Penitenciare şi conducerea Penitenciarului nr.13 din mun. Chişinău </w:t>
            </w:r>
          </w:p>
          <w:p w:rsidR="00FF2621" w:rsidRPr="00910FCD" w:rsidRDefault="00FF2621" w:rsidP="005D723F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(h) refuzul de a permite avocaţilor să-l vadă pe reclamant şi fişa lui medicală – I.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Catrinici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Medic şef adjunct expertiză, Spitalul Clinic de Psihiatrie;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GRIMALSCHI, Şef adjunct, Direcţia Principală Agent Guvernamental</w:t>
            </w:r>
          </w:p>
        </w:tc>
      </w:tr>
      <w:tr w:rsidR="009A301A" w:rsidRPr="00130F01" w:rsidTr="009A301A">
        <w:tblPrEx>
          <w:tblLook w:val="04A0"/>
        </w:tblPrEx>
        <w:trPr>
          <w:trHeight w:val="2597"/>
        </w:trPr>
        <w:tc>
          <w:tcPr>
            <w:tcW w:w="2582" w:type="dxa"/>
          </w:tcPr>
          <w:p w:rsidR="009A301A" w:rsidRPr="00130F01" w:rsidRDefault="009A301A" w:rsidP="005D723F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POPOVICI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9A301A" w:rsidRPr="00130F01" w:rsidRDefault="009A301A" w:rsidP="005D723F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27/11/2007</w:t>
            </w:r>
          </w:p>
        </w:tc>
        <w:tc>
          <w:tcPr>
            <w:tcW w:w="738" w:type="dxa"/>
          </w:tcPr>
          <w:p w:rsidR="009A301A" w:rsidRPr="00130F01" w:rsidRDefault="009A301A" w:rsidP="005D723F">
            <w:pPr>
              <w:ind w:left="-144" w:right="-108"/>
              <w:jc w:val="center"/>
              <w:rPr>
                <w:rFonts w:ascii="Garamond" w:hAnsi="Garamond" w:cs="Arial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color w:val="000000"/>
                <w:sz w:val="16"/>
                <w:szCs w:val="16"/>
                <w:lang w:val="ro-RO"/>
              </w:rPr>
              <w:t>289/04 şi 41194/04</w:t>
            </w:r>
          </w:p>
        </w:tc>
        <w:tc>
          <w:tcPr>
            <w:tcW w:w="4425" w:type="dxa"/>
          </w:tcPr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(interzicerea torturii) – deţinerea reclamantului în condiţii rele în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IDP al DGCCCO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violarea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art. 5 § 3 al Convenţiei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(motivarea detenţiei) - detenţia reclamantului fără motive suficiente şi relevante;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6 § 1 al Convenţiei (dreptul la un proce</w:t>
            </w:r>
            <w:r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s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echitabil) – casarea de către Curtea Supremă de Justiţie a unei sentinţe prin care reclamantul a fost achitat cu pronunţarea unei sentinţe de condamnare fără a respecta procedura prevăzută de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art. 451 şi art. 436 Cod de procedură penală;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6 § 2 al Convenţiei (prezumţia nevinovăţiei) – declararea de către Secretarul Consiliului Suprem de Securitate într-un </w:t>
            </w:r>
            <w:r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i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nterviu acordat unui ziar, până la condamnarea reclamantului de către instanţa de judecată, că el este vinovat de comiterea infracţiunilor de care era învinuit; violarea art. 13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 (dreptul la un recurs efectiv) –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 de a se opune violării art. 3 al </w:t>
            </w:r>
            <w:r w:rsidRPr="00130F01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Convenţiei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239" w:type="dxa"/>
          </w:tcPr>
          <w:p w:rsidR="009A301A" w:rsidRPr="00130F01" w:rsidRDefault="009A301A" w:rsidP="005D723F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€ 8,000</w:t>
            </w:r>
          </w:p>
          <w:p w:rsidR="009A301A" w:rsidRPr="00130F01" w:rsidRDefault="009A301A" w:rsidP="005D723F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7,500</w:t>
            </w:r>
          </w:p>
        </w:tc>
        <w:tc>
          <w:tcPr>
            <w:tcW w:w="4214" w:type="dxa"/>
          </w:tcPr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Au dispus condamnarea reclamantului - Mihai PLAMADEALA, Vladimir TIMOFTI, judecători, Curtea Supremă de Justiţie (judecătorul Sergiu FURDUI a avut o opinie separată, în care, în principiu, s-a expus împotriva condamnării reclamantului)</w:t>
            </w:r>
          </w:p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eliberat autorizat arestarea reclamantului - </w:t>
            </w:r>
            <w:r w:rsidRPr="00010E5E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Silvia GÎRBU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judecător. Judecătoria Buiucani</w:t>
            </w:r>
          </w:p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c) au respins recursurile împotriva autorizării arestării - Eugenia CONOVALI, Mihail BURUIAN, Vasile GRIB, judecători, Curtea de Apel Chişinău</w:t>
            </w:r>
          </w:p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 făcut declaraţii contrare art. 6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§ 2 -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Valeriu GURBULEA, secretar, Consiliul Suprem de Securitate;</w:t>
            </w:r>
          </w:p>
          <w:p w:rsidR="009A301A" w:rsidRPr="00130F01" w:rsidRDefault="009A301A" w:rsidP="005D723F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e)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au determinat detenţia reclamantului în condiţii rele – Parlamentul Republicii Moldova, care nu a alocat finanţarea necesară pentru întreţinerea penitenciarului şi hrana deţinuţilor</w:t>
            </w:r>
          </w:p>
        </w:tc>
      </w:tr>
    </w:tbl>
    <w:p w:rsidR="000B5735" w:rsidRDefault="0096603C"/>
    <w:sectPr w:rsidR="000B5735" w:rsidSect="00FF2621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621"/>
    <w:rsid w:val="00000B9F"/>
    <w:rsid w:val="00001683"/>
    <w:rsid w:val="00001E04"/>
    <w:rsid w:val="0000513A"/>
    <w:rsid w:val="0000718F"/>
    <w:rsid w:val="0001079B"/>
    <w:rsid w:val="00010E5E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5DCA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324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6603C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01A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6A46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46C5F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636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621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A3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2014-07-29T11:57:00Z</dcterms:created>
  <dcterms:modified xsi:type="dcterms:W3CDTF">2014-07-29T12:12:00Z</dcterms:modified>
</cp:coreProperties>
</file>