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C6" w:rsidRPr="00E21464" w:rsidRDefault="00FB43C6" w:rsidP="00FB43C6">
      <w:pPr>
        <w:rPr>
          <w:lang w:val="ro-RO"/>
        </w:rPr>
      </w:pPr>
    </w:p>
    <w:p w:rsidR="00762C2A" w:rsidRPr="00DE378E" w:rsidRDefault="00762C2A" w:rsidP="00762C2A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bookmarkStart w:id="0" w:name="_GoBack"/>
      <w:r>
        <w:rPr>
          <w:lang w:val="ro-RO"/>
        </w:rPr>
        <w:br/>
      </w:r>
      <w:bookmarkEnd w:id="0"/>
      <w:r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762C2A" w:rsidRPr="00DE378E" w:rsidRDefault="00762C2A" w:rsidP="00762C2A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762C2A" w:rsidRPr="00DE378E" w:rsidRDefault="00762C2A" w:rsidP="00762C2A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762C2A" w:rsidRPr="00DE378E" w:rsidRDefault="00762C2A" w:rsidP="00762C2A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DE378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DE378E">
        <w:rPr>
          <w:rFonts w:ascii="Calibri" w:hAnsi="Calibri"/>
          <w:sz w:val="18"/>
          <w:szCs w:val="18"/>
          <w:lang w:val="ro-RO"/>
        </w:rPr>
        <w:t>, ianuarie 201</w:t>
      </w:r>
      <w:r>
        <w:rPr>
          <w:rFonts w:ascii="Calibri" w:hAnsi="Calibri"/>
          <w:sz w:val="18"/>
          <w:szCs w:val="18"/>
          <w:lang w:val="ro-RO"/>
        </w:rPr>
        <w:t>8</w:t>
      </w:r>
    </w:p>
    <w:p w:rsidR="00762C2A" w:rsidRDefault="00762C2A" w:rsidP="00762C2A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762C2A" w:rsidRDefault="00762C2A" w:rsidP="00762C2A">
      <w:pPr>
        <w:ind w:right="-900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762C2A" w:rsidRPr="00DE378E" w:rsidRDefault="00762C2A" w:rsidP="00762C2A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2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13"/>
        <w:gridCol w:w="984"/>
        <w:gridCol w:w="1086"/>
        <w:gridCol w:w="4207"/>
        <w:gridCol w:w="2093"/>
        <w:gridCol w:w="4477"/>
      </w:tblGrid>
      <w:tr w:rsidR="00762C2A" w:rsidRPr="00DE378E" w:rsidTr="00DF1FD0">
        <w:tc>
          <w:tcPr>
            <w:tcW w:w="450" w:type="dxa"/>
          </w:tcPr>
          <w:p w:rsidR="00762C2A" w:rsidRPr="00DE378E" w:rsidRDefault="00762C2A" w:rsidP="00141A80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1913" w:type="dxa"/>
          </w:tcPr>
          <w:p w:rsidR="00762C2A" w:rsidRPr="00DE378E" w:rsidRDefault="00762C2A" w:rsidP="00141A8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762C2A" w:rsidRPr="00DE378E" w:rsidRDefault="00762C2A" w:rsidP="00141A80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762C2A" w:rsidRPr="00DE378E" w:rsidRDefault="00762C2A" w:rsidP="00141A80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762C2A" w:rsidRPr="00DE378E" w:rsidRDefault="00762C2A" w:rsidP="00141A80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4207" w:type="dxa"/>
          </w:tcPr>
          <w:p w:rsidR="00762C2A" w:rsidRPr="00DE378E" w:rsidRDefault="00762C2A" w:rsidP="00141A8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093" w:type="dxa"/>
          </w:tcPr>
          <w:p w:rsidR="00762C2A" w:rsidRPr="00DE378E" w:rsidRDefault="00762C2A" w:rsidP="00141A8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4477" w:type="dxa"/>
          </w:tcPr>
          <w:p w:rsidR="00762C2A" w:rsidRPr="00DE378E" w:rsidRDefault="00762C2A" w:rsidP="00141A8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762C2A" w:rsidRPr="00DE378E" w:rsidRDefault="00762C2A" w:rsidP="00141A80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762C2A" w:rsidRPr="00DE378E" w:rsidTr="00DF1FD0">
        <w:trPr>
          <w:trHeight w:val="848"/>
        </w:trPr>
        <w:tc>
          <w:tcPr>
            <w:tcW w:w="450" w:type="dxa"/>
          </w:tcPr>
          <w:p w:rsidR="00762C2A" w:rsidRPr="00DE378E" w:rsidRDefault="00762C2A" w:rsidP="00141A80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1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.</w:t>
            </w:r>
          </w:p>
        </w:tc>
        <w:tc>
          <w:tcPr>
            <w:tcW w:w="1913" w:type="dxa"/>
          </w:tcPr>
          <w:p w:rsidR="00762C2A" w:rsidRPr="009C636F" w:rsidRDefault="00762C2A" w:rsidP="00141A8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proofErr w:type="spellStart"/>
            <w:r w:rsidRPr="009C636F">
              <w:rPr>
                <w:rFonts w:ascii="Calibri" w:hAnsi="Calibri"/>
                <w:b/>
                <w:sz w:val="18"/>
                <w:szCs w:val="18"/>
              </w:rPr>
              <w:t>Savotchko</w:t>
            </w:r>
            <w:proofErr w:type="spellEnd"/>
            <w:r w:rsidRPr="009C636F">
              <w:rPr>
                <w:rFonts w:ascii="Calibri" w:hAnsi="Calibri"/>
                <w:b/>
                <w:sz w:val="18"/>
                <w:szCs w:val="18"/>
              </w:rPr>
              <w:t xml:space="preserve"> c. </w:t>
            </w:r>
            <w:proofErr w:type="spellStart"/>
            <w:r w:rsidRPr="009C636F">
              <w:rPr>
                <w:rFonts w:ascii="Calibri" w:hAnsi="Calibri"/>
                <w:b/>
                <w:sz w:val="18"/>
                <w:szCs w:val="18"/>
              </w:rPr>
              <w:t>Moldovei</w:t>
            </w:r>
            <w:proofErr w:type="spellEnd"/>
          </w:p>
        </w:tc>
        <w:tc>
          <w:tcPr>
            <w:tcW w:w="984" w:type="dxa"/>
          </w:tcPr>
          <w:p w:rsidR="00762C2A" w:rsidRPr="009C636F" w:rsidRDefault="00762C2A" w:rsidP="00141A80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</w:rPr>
            </w:pPr>
            <w:r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28/03/2017</w:t>
            </w:r>
          </w:p>
        </w:tc>
        <w:tc>
          <w:tcPr>
            <w:tcW w:w="1086" w:type="dxa"/>
          </w:tcPr>
          <w:p w:rsidR="00762C2A" w:rsidRPr="009C636F" w:rsidRDefault="00762C2A" w:rsidP="00141A80">
            <w:pPr>
              <w:rPr>
                <w:rFonts w:ascii="Calibri" w:hAnsi="Calibri"/>
                <w:sz w:val="18"/>
                <w:szCs w:val="18"/>
              </w:rPr>
            </w:pPr>
            <w:r w:rsidRPr="009C636F">
              <w:rPr>
                <w:rFonts w:ascii="Calibri" w:hAnsi="Calibri"/>
                <w:sz w:val="18"/>
                <w:szCs w:val="18"/>
              </w:rPr>
              <w:t>33074/04  </w:t>
            </w:r>
          </w:p>
        </w:tc>
        <w:tc>
          <w:tcPr>
            <w:tcW w:w="4207" w:type="dxa"/>
          </w:tcPr>
          <w:p w:rsidR="00762C2A" w:rsidRPr="009C636F" w:rsidRDefault="00762C2A" w:rsidP="00141A80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9C636F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8 CEDO</w:t>
            </w:r>
            <w:r w:rsidRPr="009C636F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–</w:t>
            </w:r>
            <w:r w:rsidRPr="009C636F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9C636F"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  <w:lang w:val="ro-RO"/>
              </w:rPr>
              <w:t>divulgarea descifrărilor telefonice a</w:t>
            </w:r>
            <w:r w:rsidRPr="009C636F">
              <w:rPr>
                <w:rFonts w:ascii="Calibri" w:hAnsi="Calibri"/>
                <w:color w:val="222222"/>
                <w:sz w:val="18"/>
                <w:szCs w:val="18"/>
                <w:lang w:val="ro-RO"/>
              </w:rPr>
              <w:t xml:space="preserve"> </w:t>
            </w:r>
            <w:r w:rsidRPr="009C636F"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  <w:lang w:val="ro-RO"/>
              </w:rPr>
              <w:t>constituit o încălcare a dreptului său la respectarea vieții sale private și a</w:t>
            </w:r>
            <w:r w:rsidRPr="009C636F">
              <w:rPr>
                <w:rFonts w:ascii="Calibri" w:hAnsi="Calibri"/>
                <w:color w:val="222222"/>
                <w:sz w:val="18"/>
                <w:szCs w:val="18"/>
                <w:lang w:val="ro-RO"/>
              </w:rPr>
              <w:br/>
            </w:r>
            <w:r w:rsidRPr="009C636F"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  <w:lang w:val="ro-RO"/>
              </w:rPr>
              <w:t>corespondenței.</w:t>
            </w:r>
          </w:p>
        </w:tc>
        <w:tc>
          <w:tcPr>
            <w:tcW w:w="2093" w:type="dxa"/>
          </w:tcPr>
          <w:p w:rsidR="00762C2A" w:rsidRDefault="00762C2A" w:rsidP="00141A80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</w:pPr>
            <w:r>
              <w:rPr>
                <w:rStyle w:val="85pt"/>
                <w:rFonts w:ascii="Calibri" w:eastAsia="Calibri" w:hAnsi="Calibri"/>
                <w:b/>
                <w:sz w:val="18"/>
                <w:szCs w:val="18"/>
                <w:lang w:val="ro-RO"/>
              </w:rPr>
              <w:t>Suma totală – EUR 5,000</w:t>
            </w:r>
          </w:p>
          <w:p w:rsidR="00762C2A" w:rsidRDefault="00762C2A" w:rsidP="00141A80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Prejud</w:t>
            </w:r>
            <w:proofErr w:type="spellEnd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. </w:t>
            </w:r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M</w:t>
            </w:r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oral – EUR 3,000</w:t>
            </w:r>
          </w:p>
          <w:p w:rsidR="00762C2A" w:rsidRPr="009C636F" w:rsidRDefault="00762C2A" w:rsidP="00141A80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Costuri </w:t>
            </w: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chelt</w:t>
            </w:r>
            <w:proofErr w:type="spellEnd"/>
            <w:r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. – EUR 2,000</w:t>
            </w:r>
          </w:p>
        </w:tc>
        <w:tc>
          <w:tcPr>
            <w:tcW w:w="4477" w:type="dxa"/>
          </w:tcPr>
          <w:p w:rsidR="00762C2A" w:rsidRDefault="00762C2A" w:rsidP="00141A80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Judecătorii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Curţii</w:t>
            </w:r>
            <w:proofErr w:type="spellEnd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Supreme de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Justiţie</w:t>
            </w:r>
            <w:proofErr w:type="spellEnd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care la 21 ianuarie 2004 au respins recursul reclamantei sunt:</w:t>
            </w:r>
          </w:p>
          <w:p w:rsidR="00762C2A" w:rsidRPr="006B6899" w:rsidRDefault="00762C2A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Dumitru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Visterniceanu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;</w:t>
            </w:r>
          </w:p>
          <w:p w:rsidR="00762C2A" w:rsidRPr="006B6899" w:rsidRDefault="00762C2A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Vasile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Tataru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;</w:t>
            </w:r>
          </w:p>
          <w:p w:rsidR="00762C2A" w:rsidRPr="006B6899" w:rsidRDefault="00762C2A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</w:t>
            </w:r>
            <w:r w:rsidRPr="00762C2A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 xml:space="preserve">Tamara </w:t>
            </w:r>
            <w:proofErr w:type="spellStart"/>
            <w:r w:rsidRPr="00762C2A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Chişcă-Doneva</w:t>
            </w:r>
            <w:proofErr w:type="spellEnd"/>
            <w:r w:rsidRPr="00762C2A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;</w:t>
            </w:r>
          </w:p>
          <w:p w:rsidR="00762C2A" w:rsidRPr="006B6899" w:rsidRDefault="00762C2A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Ala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Cobăneanu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;</w:t>
            </w:r>
          </w:p>
          <w:p w:rsidR="00762C2A" w:rsidRPr="001E5FF7" w:rsidRDefault="00762C2A" w:rsidP="00141A80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- Tatiana Vieru.</w:t>
            </w:r>
          </w:p>
        </w:tc>
      </w:tr>
      <w:tr w:rsidR="00762C2A" w:rsidRPr="00DE378E" w:rsidTr="00DF1FD0">
        <w:trPr>
          <w:trHeight w:val="848"/>
        </w:trPr>
        <w:tc>
          <w:tcPr>
            <w:tcW w:w="450" w:type="dxa"/>
          </w:tcPr>
          <w:p w:rsidR="00762C2A" w:rsidRDefault="00762C2A" w:rsidP="00762C2A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2.</w:t>
            </w:r>
          </w:p>
        </w:tc>
        <w:tc>
          <w:tcPr>
            <w:tcW w:w="1913" w:type="dxa"/>
          </w:tcPr>
          <w:p w:rsidR="00762C2A" w:rsidRPr="00DE378E" w:rsidRDefault="00762C2A" w:rsidP="00762C2A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hyperlink r:id="rId5" w:history="1">
              <w:r w:rsidRPr="009D5063">
                <w:rPr>
                  <w:rStyle w:val="Hyperlink"/>
                  <w:sz w:val="18"/>
                  <w:szCs w:val="18"/>
                  <w:lang w:val="ro-RO"/>
                </w:rPr>
                <w:t>Otgon</w:t>
              </w:r>
            </w:hyperlink>
            <w:r w:rsidRPr="00DE378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DE378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>c.Moldovei</w:t>
            </w:r>
            <w:proofErr w:type="spellEnd"/>
          </w:p>
        </w:tc>
        <w:tc>
          <w:tcPr>
            <w:tcW w:w="984" w:type="dxa"/>
          </w:tcPr>
          <w:p w:rsidR="00762C2A" w:rsidRPr="00DE378E" w:rsidRDefault="00762C2A" w:rsidP="00762C2A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DE378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25/10/2016</w:t>
            </w:r>
          </w:p>
        </w:tc>
        <w:tc>
          <w:tcPr>
            <w:tcW w:w="1086" w:type="dxa"/>
          </w:tcPr>
          <w:p w:rsidR="00762C2A" w:rsidRPr="00DE378E" w:rsidRDefault="00762C2A" w:rsidP="00762C2A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18"/>
                <w:szCs w:val="18"/>
                <w:lang w:val="ro-RO"/>
              </w:rPr>
            </w:pPr>
            <w:hyperlink r:id="rId6" w:anchor="{&quot;fulltext&quot;:[&quot;22743/07&quot;],&quot;documentcollectionid2&quot;:[&quot;JUDGMENTS&quot;,&quot;DECISIONS&quot;,&quot;COMMUNICATEDCASES&quot;]}" w:history="1">
              <w:r w:rsidRPr="00302450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22743/07</w:t>
              </w:r>
            </w:hyperlink>
          </w:p>
        </w:tc>
        <w:tc>
          <w:tcPr>
            <w:tcW w:w="4207" w:type="dxa"/>
          </w:tcPr>
          <w:p w:rsidR="00762C2A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Cs/>
                <w:color w:val="000000"/>
                <w:sz w:val="18"/>
                <w:szCs w:val="18"/>
                <w:u w:val="single"/>
                <w:lang w:val="ro-RO"/>
              </w:rPr>
              <w:t>violarea art. 8 CEDO</w:t>
            </w:r>
            <w:r w:rsidRPr="00DE378E">
              <w:rPr>
                <w:rFonts w:ascii="Calibri" w:hAnsi="Calibri"/>
                <w:bCs/>
                <w:color w:val="000000"/>
                <w:sz w:val="18"/>
                <w:szCs w:val="18"/>
                <w:lang w:val="ro-RO"/>
              </w:rPr>
              <w:t xml:space="preserve"> – </w:t>
            </w:r>
            <w:r w:rsidRPr="00DE378E">
              <w:rPr>
                <w:rFonts w:ascii="Calibri" w:hAnsi="Calibri"/>
                <w:sz w:val="18"/>
                <w:szCs w:val="18"/>
                <w:lang w:val="ro-RO"/>
              </w:rPr>
              <w:t>dreptul la viață privată</w:t>
            </w:r>
          </w:p>
          <w:p w:rsidR="00762C2A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</w:p>
          <w:p w:rsidR="00762C2A" w:rsidRDefault="00762C2A" w:rsidP="00762C2A">
            <w:pPr>
              <w:jc w:val="both"/>
              <w:rPr>
                <w:rStyle w:val="85pt"/>
                <w:rFonts w:ascii="Calibri" w:hAnsi="Calibri" w:cs="Calibri"/>
                <w:b w:val="0"/>
                <w:sz w:val="18"/>
                <w:szCs w:val="18"/>
                <w:lang w:val="ro-RO"/>
              </w:rPr>
            </w:pPr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Curtea a constatat, cu 6 voturi la 1, violarea Articolului 8 din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Convenţie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. Ea a reamintit că este în primul rând de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competenţa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autorităţilor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naţionale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să restabilească orice pretinsă violare a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Convenţiei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. Chestiunea dacă o persoană poate pretinde în continuare statutul de victimă a pretinsei violări a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Convenţiei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presupune, în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esenţă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, examinarea ex post facto de către Curte a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situaţiei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persoanei respective. O decizie sau o măsură a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autorităţilor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naţionale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favorabilă reclamantului în principiu nu este suficientă să-l lipsească de statutul de victimă afară de cazul când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autorităţile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naţionale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au recunoscut, în mod expres sau în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esenţă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şi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au acordat despăgubiri pentru violarea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Convenţiei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. Întrebarea dacă victima violării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Convenţiei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a fost despăgubită pentru prejudiciul cauzat – comparabil cu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satisfacţia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echitabilă, care este prevăzută de articolul 41 din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Convenţie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– este o chestiune importantă. În practica constantă a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Curţii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este stabilit că în cazul în care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autorităţile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naţionale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au stabilit o violare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şi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decizia respectivă constituie o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satisfacţie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adecvată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şi</w:t>
            </w:r>
            <w:proofErr w:type="spellEnd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 xml:space="preserve"> suficientă, partea nu mai poate pretinde a fi o victimă în sensul articolului 34 din </w:t>
            </w:r>
            <w:proofErr w:type="spellStart"/>
            <w:r w:rsidRPr="002B1B07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Convenţie</w:t>
            </w:r>
            <w:proofErr w:type="spellEnd"/>
            <w:r w:rsidRPr="002B1B07">
              <w:rPr>
                <w:rStyle w:val="85pt"/>
                <w:rFonts w:ascii="Calibri" w:hAnsi="Calibri" w:cs="Calibri"/>
                <w:b w:val="0"/>
                <w:sz w:val="18"/>
                <w:szCs w:val="18"/>
                <w:lang w:val="ro-RO"/>
              </w:rPr>
              <w:t>.</w:t>
            </w:r>
          </w:p>
          <w:p w:rsidR="00762C2A" w:rsidRPr="002B1B07" w:rsidRDefault="00762C2A" w:rsidP="00762C2A">
            <w:pPr>
              <w:jc w:val="both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</w:p>
        </w:tc>
        <w:tc>
          <w:tcPr>
            <w:tcW w:w="2093" w:type="dxa"/>
          </w:tcPr>
          <w:p w:rsidR="00762C2A" w:rsidRPr="00DE378E" w:rsidRDefault="00762C2A" w:rsidP="00762C2A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color w:val="000000"/>
                <w:sz w:val="18"/>
                <w:szCs w:val="18"/>
                <w:lang w:val="ro-RO"/>
              </w:rPr>
            </w:pPr>
            <w:r w:rsidRPr="00DE378E">
              <w:rPr>
                <w:bCs w:val="0"/>
                <w:color w:val="000000"/>
                <w:sz w:val="18"/>
                <w:szCs w:val="18"/>
                <w:lang w:val="ro-RO"/>
              </w:rPr>
              <w:t>Suma totala - EUR 4,000</w:t>
            </w:r>
          </w:p>
          <w:p w:rsidR="00762C2A" w:rsidRPr="00DE378E" w:rsidRDefault="00762C2A" w:rsidP="00762C2A">
            <w:pPr>
              <w:pStyle w:val="1"/>
              <w:shd w:val="clear" w:color="auto" w:fill="auto"/>
              <w:spacing w:after="0" w:line="189" w:lineRule="exact"/>
              <w:jc w:val="left"/>
              <w:rPr>
                <w:b w:val="0"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Prejud</w:t>
            </w:r>
            <w:proofErr w:type="spellEnd"/>
            <w:r w:rsidRPr="00DE378E">
              <w:rPr>
                <w:b w:val="0"/>
                <w:bCs w:val="0"/>
                <w:color w:val="000000"/>
                <w:sz w:val="18"/>
                <w:szCs w:val="18"/>
                <w:lang w:val="ro-RO"/>
              </w:rPr>
              <w:t>. moral – EUR 4,000</w:t>
            </w:r>
          </w:p>
          <w:p w:rsidR="00762C2A" w:rsidRPr="00DE378E" w:rsidRDefault="00762C2A" w:rsidP="00762C2A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477" w:type="dxa"/>
          </w:tcPr>
          <w:p w:rsidR="00762C2A" w:rsidRPr="00CA4C38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  <w:r w:rsidRPr="008C577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Judecătoria Călărași</w:t>
            </w:r>
            <w:r w:rsidRPr="008C5779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8C5779">
              <w:rPr>
                <w:rFonts w:ascii="Calibri" w:hAnsi="Calibri"/>
                <w:b/>
                <w:sz w:val="18"/>
                <w:szCs w:val="18"/>
                <w:lang w:val="ro-RO"/>
              </w:rPr>
              <w:t>RAROPU Ion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(1 martie </w:t>
            </w:r>
            <w:smartTag w:uri="urn:schemas-microsoft-com:office:smarttags" w:element="metricconverter">
              <w:smartTagPr>
                <w:attr w:name="ProductID" w:val="2006 a"/>
              </w:smartTagPr>
              <w:r>
                <w:rPr>
                  <w:rFonts w:ascii="Calibri" w:hAnsi="Calibri"/>
                  <w:sz w:val="18"/>
                  <w:szCs w:val="18"/>
                  <w:lang w:val="ro-RO"/>
                </w:rPr>
                <w:t>2006 a</w:t>
              </w:r>
            </w:smartTag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emis o hotărâre în favoarea reclamantului, însă suma </w:t>
            </w:r>
            <w:r w:rsidRPr="00CA4C38">
              <w:rPr>
                <w:rFonts w:ascii="Calibri" w:hAnsi="Calibri"/>
                <w:sz w:val="18"/>
                <w:szCs w:val="18"/>
                <w:lang w:val="ro-RO"/>
              </w:rPr>
              <w:t xml:space="preserve">acordată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(10,000 lei)</w:t>
            </w:r>
            <w:r w:rsidRPr="00CA4C38"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a fost</w:t>
            </w:r>
            <w:r w:rsidRPr="00CA4C38">
              <w:rPr>
                <w:rFonts w:ascii="Calibri" w:hAnsi="Calibri"/>
                <w:sz w:val="18"/>
                <w:szCs w:val="18"/>
                <w:lang w:val="ro-RO"/>
              </w:rPr>
              <w:t xml:space="preserve"> în mod considerabil mai mică decât minimul acordat de Curte în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cauze similare)</w:t>
            </w:r>
          </w:p>
          <w:p w:rsidR="00762C2A" w:rsidRPr="008C5779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</w:p>
          <w:p w:rsidR="00762C2A" w:rsidRPr="00CA4C38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8C577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Curtea de Apel Chișinău</w:t>
            </w:r>
            <w:r w:rsidRPr="008C5779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107023">
              <w:rPr>
                <w:rFonts w:ascii="Calibri" w:hAnsi="Calibri"/>
                <w:b/>
                <w:sz w:val="18"/>
                <w:szCs w:val="18"/>
                <w:lang w:val="ro-RO"/>
              </w:rPr>
              <w:t>POPOVA Ludmila, BULGAC Lidia, PRUTEANU Victor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(26 aprilie 2006 </w:t>
            </w:r>
            <w:r w:rsidRPr="00CA4C38">
              <w:rPr>
                <w:rFonts w:ascii="Calibri" w:hAnsi="Calibri"/>
                <w:sz w:val="18"/>
                <w:szCs w:val="18"/>
                <w:lang w:val="ro-RO"/>
              </w:rPr>
              <w:t>a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u redus compensația la 5,</w:t>
            </w:r>
            <w:r w:rsidRPr="00CA4C38">
              <w:rPr>
                <w:rFonts w:ascii="Calibri" w:hAnsi="Calibri"/>
                <w:sz w:val="18"/>
                <w:szCs w:val="18"/>
                <w:lang w:val="ro-RO"/>
              </w:rPr>
              <w:t>000 lei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)</w:t>
            </w:r>
          </w:p>
          <w:p w:rsidR="00762C2A" w:rsidRPr="008C5779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</w:p>
          <w:p w:rsidR="00762C2A" w:rsidRPr="00CA4C38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8C577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Curtea Supremă de Justiție</w:t>
            </w:r>
            <w:r w:rsidRPr="008C5779"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8C577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CLIMA Nicolae, </w:t>
            </w:r>
            <w:r w:rsidRPr="00D3378F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CHIŞCĂ-DONEVA Tamara</w:t>
            </w:r>
            <w:r w:rsidRPr="008C577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, RĂDUCANU Tatiana, SÎRCU Iulia, TIMOFTI Nicolae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(25 octombrie 2006 au menținut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hotărîrea</w:t>
            </w:r>
            <w:proofErr w:type="spellEnd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Curții de Apel Chișinău)</w:t>
            </w:r>
          </w:p>
          <w:p w:rsidR="00762C2A" w:rsidRPr="008C5779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lang w:val="ro-RO"/>
              </w:rPr>
            </w:pPr>
          </w:p>
        </w:tc>
      </w:tr>
      <w:tr w:rsidR="00762C2A" w:rsidRPr="00DE378E" w:rsidTr="00DF1FD0">
        <w:trPr>
          <w:trHeight w:val="848"/>
        </w:trPr>
        <w:tc>
          <w:tcPr>
            <w:tcW w:w="450" w:type="dxa"/>
          </w:tcPr>
          <w:p w:rsidR="00762C2A" w:rsidRDefault="00762C2A" w:rsidP="00762C2A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3.</w:t>
            </w:r>
          </w:p>
        </w:tc>
        <w:tc>
          <w:tcPr>
            <w:tcW w:w="1913" w:type="dxa"/>
          </w:tcPr>
          <w:p w:rsidR="00762C2A" w:rsidRDefault="00762C2A" w:rsidP="00762C2A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  <w:hyperlink r:id="rId7" w:history="1">
              <w:r w:rsidRPr="00C05FEE">
                <w:rPr>
                  <w:rStyle w:val="Hyperlink"/>
                  <w:sz w:val="18"/>
                  <w:szCs w:val="18"/>
                  <w:lang w:val="ro-RO"/>
                </w:rPr>
                <w:t xml:space="preserve">Rusu </w:t>
              </w:r>
              <w:proofErr w:type="spellStart"/>
              <w:r w:rsidRPr="00C05FEE">
                <w:rPr>
                  <w:rStyle w:val="Hyperlink"/>
                  <w:sz w:val="18"/>
                  <w:szCs w:val="18"/>
                  <w:lang w:val="ro-RO"/>
                </w:rPr>
                <w:t>Lintax</w:t>
              </w:r>
              <w:proofErr w:type="spellEnd"/>
              <w:r w:rsidRPr="00C05FEE">
                <w:rPr>
                  <w:rStyle w:val="Hyperlink"/>
                  <w:sz w:val="18"/>
                  <w:szCs w:val="18"/>
                  <w:lang w:val="ro-RO"/>
                </w:rPr>
                <w:t xml:space="preserve"> SRL</w:t>
              </w:r>
            </w:hyperlink>
            <w:r w:rsidRPr="00C05FEE"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  <w:t xml:space="preserve"> c. Moldovei</w:t>
            </w:r>
          </w:p>
          <w:p w:rsidR="00762C2A" w:rsidRDefault="00762C2A" w:rsidP="00762C2A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</w:p>
          <w:p w:rsidR="00762C2A" w:rsidRPr="00C05FEE" w:rsidRDefault="00762C2A" w:rsidP="00762C2A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  <w:lang w:val="ro-RO"/>
              </w:rPr>
            </w:pPr>
          </w:p>
        </w:tc>
        <w:tc>
          <w:tcPr>
            <w:tcW w:w="984" w:type="dxa"/>
          </w:tcPr>
          <w:p w:rsidR="00762C2A" w:rsidRPr="00DE378E" w:rsidRDefault="00762C2A" w:rsidP="00762C2A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lastRenderedPageBreak/>
              <w:t>13/12/2016</w:t>
            </w:r>
          </w:p>
        </w:tc>
        <w:tc>
          <w:tcPr>
            <w:tcW w:w="1086" w:type="dxa"/>
          </w:tcPr>
          <w:p w:rsidR="00762C2A" w:rsidRDefault="00762C2A" w:rsidP="00762C2A">
            <w:pPr>
              <w:ind w:left="-12"/>
              <w:jc w:val="center"/>
              <w:rPr>
                <w:rStyle w:val="85pt0"/>
                <w:rFonts w:ascii="Calibri" w:hAnsi="Calibri"/>
                <w:b w:val="0"/>
                <w:bCs w:val="0"/>
                <w:i w:val="0"/>
                <w:iCs w:val="0"/>
                <w:sz w:val="18"/>
                <w:szCs w:val="18"/>
                <w:lang w:val="ro-RO"/>
              </w:rPr>
            </w:pPr>
            <w:hyperlink r:id="rId8" w:anchor="{&quot;fulltext&quot;:[&quot;17992/09&quot;]}" w:history="1">
              <w:r w:rsidRPr="00C05FEE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17992/09</w:t>
              </w:r>
            </w:hyperlink>
          </w:p>
        </w:tc>
        <w:tc>
          <w:tcPr>
            <w:tcW w:w="4207" w:type="dxa"/>
          </w:tcPr>
          <w:p w:rsidR="00762C2A" w:rsidRDefault="00762C2A" w:rsidP="00762C2A">
            <w:pPr>
              <w:jc w:val="both"/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</w:pPr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u w:val="single"/>
                <w:lang w:val="ro-RO" w:eastAsia="en-GB"/>
              </w:rPr>
              <w:t>violarea art. 6 § 1 CEDO</w:t>
            </w:r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 xml:space="preserve"> –  dreptul la un proces echitabil</w:t>
            </w:r>
          </w:p>
          <w:p w:rsidR="00762C2A" w:rsidRPr="00762C2A" w:rsidRDefault="00762C2A" w:rsidP="00762C2A">
            <w:pPr>
              <w:jc w:val="both"/>
            </w:pPr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u w:val="single"/>
                <w:lang w:val="ro-RO" w:eastAsia="en-GB"/>
              </w:rPr>
              <w:t>violarea art. 1 Protocolul nr. 1 CEDO</w:t>
            </w:r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 xml:space="preserve"> – </w:t>
            </w:r>
            <w:proofErr w:type="spellStart"/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>protecţia</w:t>
            </w:r>
            <w:proofErr w:type="spellEnd"/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 xml:space="preserve"> </w:t>
            </w:r>
            <w:proofErr w:type="spellStart"/>
            <w:r w:rsidRPr="00DE378E">
              <w:rPr>
                <w:rStyle w:val="85pt"/>
                <w:rFonts w:ascii="Calibri" w:hAnsi="Calibri"/>
                <w:b w:val="0"/>
                <w:bCs w:val="0"/>
                <w:sz w:val="18"/>
                <w:szCs w:val="18"/>
                <w:lang w:val="ro-RO" w:eastAsia="en-GB"/>
              </w:rPr>
              <w:t>proprietăţii</w:t>
            </w:r>
            <w:proofErr w:type="spellEnd"/>
          </w:p>
          <w:p w:rsidR="00762C2A" w:rsidRPr="00762C2A" w:rsidRDefault="00762C2A" w:rsidP="00762C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62C2A" w:rsidRDefault="00762C2A" w:rsidP="00762C2A">
            <w:pPr>
              <w:jc w:val="both"/>
              <w:rPr>
                <w:rFonts w:ascii="Calibri" w:hAnsi="Calibri" w:cs="Calibri"/>
                <w:sz w:val="18"/>
                <w:szCs w:val="18"/>
                <w:lang w:val="ro-RO"/>
              </w:rPr>
            </w:pPr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lastRenderedPageBreak/>
              <w:t xml:space="preserve">Curtea a constatat, în unanimitate, violarea art. 6 § 1 din Convenție și a articolului 1 din Protocolul 1 în ceea ce </w:t>
            </w:r>
            <w:proofErr w:type="spellStart"/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>priveşte</w:t>
            </w:r>
            <w:proofErr w:type="spellEnd"/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 xml:space="preserve"> neexecutarea hotărârii </w:t>
            </w:r>
            <w:proofErr w:type="spellStart"/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>judecătoreşti</w:t>
            </w:r>
            <w:proofErr w:type="spellEnd"/>
            <w:r w:rsidRPr="00AE75E6">
              <w:rPr>
                <w:rFonts w:ascii="Calibri" w:hAnsi="Calibri" w:cs="Calibri"/>
                <w:sz w:val="18"/>
                <w:szCs w:val="18"/>
                <w:lang w:val="ro-RO"/>
              </w:rPr>
              <w:t xml:space="preserve"> irevocabile din 11 iunie 2008. Curtea a considerat că o situație în care să se admită cererea de revizuire a unei hotărâri irevocabile, înaintată de o parte în proces, prin admiterea ca circumstanță nouă o scrisoare a unei autorități parte a acestor proceduri și care reiterează prevederile legale generale, ar fi contrară principiului securității juridice.</w:t>
            </w:r>
          </w:p>
          <w:p w:rsidR="00762C2A" w:rsidRPr="00AE75E6" w:rsidRDefault="00762C2A" w:rsidP="00762C2A">
            <w:pPr>
              <w:jc w:val="both"/>
              <w:rPr>
                <w:rFonts w:ascii="Calibri" w:hAnsi="Calibri" w:cs="Calibri"/>
                <w:sz w:val="18"/>
                <w:szCs w:val="18"/>
                <w:lang w:val="ro-RO"/>
              </w:rPr>
            </w:pPr>
          </w:p>
        </w:tc>
        <w:tc>
          <w:tcPr>
            <w:tcW w:w="2093" w:type="dxa"/>
          </w:tcPr>
          <w:p w:rsidR="00762C2A" w:rsidRPr="00AE75E6" w:rsidRDefault="00762C2A" w:rsidP="00762C2A">
            <w:pPr>
              <w:pStyle w:val="1"/>
              <w:shd w:val="clear" w:color="auto" w:fill="auto"/>
              <w:spacing w:after="0" w:line="189" w:lineRule="exact"/>
              <w:jc w:val="both"/>
              <w:rPr>
                <w:bCs w:val="0"/>
                <w:color w:val="000000"/>
                <w:sz w:val="18"/>
                <w:szCs w:val="18"/>
                <w:lang w:val="ro-RO"/>
              </w:rPr>
            </w:pPr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lastRenderedPageBreak/>
              <w:t xml:space="preserve">În ceea ce </w:t>
            </w:r>
            <w:proofErr w:type="spellStart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>priveşte</w:t>
            </w:r>
            <w:proofErr w:type="spellEnd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>satisfacţia</w:t>
            </w:r>
            <w:proofErr w:type="spellEnd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 xml:space="preserve"> echitabilă, Curtea a considerat că problema aplicării articolului 41 nu este gata pentru a fi decisă și </w:t>
            </w:r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lastRenderedPageBreak/>
              <w:t xml:space="preserve">a </w:t>
            </w:r>
            <w:proofErr w:type="spellStart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>a</w:t>
            </w:r>
            <w:proofErr w:type="spellEnd"/>
            <w:r w:rsidRPr="00AE75E6">
              <w:rPr>
                <w:bCs w:val="0"/>
                <w:color w:val="000000"/>
                <w:sz w:val="18"/>
                <w:szCs w:val="18"/>
                <w:lang w:val="ro-RO"/>
              </w:rPr>
              <w:t xml:space="preserve"> rezervat-o pentru o hotărâre separată.</w:t>
            </w:r>
          </w:p>
        </w:tc>
        <w:tc>
          <w:tcPr>
            <w:tcW w:w="4477" w:type="dxa"/>
          </w:tcPr>
          <w:p w:rsidR="00762C2A" w:rsidRPr="00A765E0" w:rsidRDefault="00762C2A" w:rsidP="00762C2A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u w:val="single"/>
                <w:lang w:val="ro-RO"/>
              </w:rPr>
              <w:lastRenderedPageBreak/>
              <w:t>Curtea Supremă de Justiție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 w:rsidRPr="00A765E0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NOVAC Svetlana, </w:t>
            </w:r>
            <w:r w:rsidRPr="00F76EA4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CHIȘCĂ-DONEVA Tamara</w:t>
            </w:r>
            <w:r w:rsidRPr="00A765E0">
              <w:rPr>
                <w:rFonts w:ascii="Calibri" w:hAnsi="Calibri"/>
                <w:b/>
                <w:sz w:val="18"/>
                <w:szCs w:val="18"/>
                <w:lang w:val="ro-RO"/>
              </w:rPr>
              <w:t>, CLEVADÎ Valentina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(</w:t>
            </w:r>
            <w:r>
              <w:rPr>
                <w:rFonts w:ascii="Calibri" w:hAnsi="Calibri"/>
                <w:color w:val="000000"/>
                <w:sz w:val="18"/>
                <w:szCs w:val="18"/>
                <w:lang w:val="ro-RO"/>
              </w:rPr>
              <w:t>la data de 24 decembrie 2008 au admis cererea de revizuire și au casat decizia irevocabilă a Curții Supreme de Justiție din 11 iunie 2008, pronunțată în favoarea reclamantului)</w:t>
            </w:r>
          </w:p>
        </w:tc>
      </w:tr>
      <w:tr w:rsidR="002C62C1" w:rsidRPr="00DE378E" w:rsidTr="00DF1FD0">
        <w:trPr>
          <w:trHeight w:val="848"/>
        </w:trPr>
        <w:tc>
          <w:tcPr>
            <w:tcW w:w="450" w:type="dxa"/>
          </w:tcPr>
          <w:p w:rsidR="002C62C1" w:rsidRDefault="002C62C1" w:rsidP="002C62C1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lastRenderedPageBreak/>
              <w:t>4.</w:t>
            </w:r>
          </w:p>
        </w:tc>
        <w:tc>
          <w:tcPr>
            <w:tcW w:w="1913" w:type="dxa"/>
          </w:tcPr>
          <w:p w:rsidR="002C62C1" w:rsidRPr="002C62C1" w:rsidRDefault="002C62C1" w:rsidP="002C62C1">
            <w:pPr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2C62C1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Radu</w:t>
            </w:r>
          </w:p>
        </w:tc>
        <w:tc>
          <w:tcPr>
            <w:tcW w:w="984" w:type="dxa"/>
            <w:vAlign w:val="bottom"/>
          </w:tcPr>
          <w:p w:rsidR="002C62C1" w:rsidRPr="001E39FE" w:rsidRDefault="002C62C1" w:rsidP="002C62C1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/>
                <w:color w:val="000000"/>
                <w:sz w:val="16"/>
                <w:szCs w:val="16"/>
                <w:lang w:val="ro-RO"/>
              </w:rPr>
              <w:t>15/04/2014</w:t>
            </w:r>
          </w:p>
        </w:tc>
        <w:tc>
          <w:tcPr>
            <w:tcW w:w="1086" w:type="dxa"/>
            <w:vAlign w:val="bottom"/>
          </w:tcPr>
          <w:p w:rsidR="002C62C1" w:rsidRPr="001E39FE" w:rsidRDefault="002C62C1" w:rsidP="002C62C1">
            <w:pPr>
              <w:ind w:left="-144" w:right="-108"/>
              <w:jc w:val="center"/>
              <w:rPr>
                <w:rFonts w:ascii="Calibri" w:hAnsi="Calibri" w:cs="Calibri"/>
                <w:i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/>
                <w:color w:val="000000"/>
                <w:sz w:val="16"/>
                <w:szCs w:val="16"/>
                <w:lang w:val="ro-RO"/>
              </w:rPr>
              <w:t>50073/07</w:t>
            </w:r>
          </w:p>
        </w:tc>
        <w:tc>
          <w:tcPr>
            <w:tcW w:w="4207" w:type="dxa"/>
            <w:vAlign w:val="center"/>
          </w:tcPr>
          <w:p w:rsidR="002C62C1" w:rsidRPr="001E39FE" w:rsidRDefault="002C62C1" w:rsidP="002C62C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ro-RO"/>
              </w:rPr>
            </w:pPr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Articolul 8 CEDO – divulgarea ilegală a </w:t>
            </w:r>
            <w:proofErr w:type="spellStart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>informației</w:t>
            </w:r>
            <w:proofErr w:type="spellEnd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 despre starea </w:t>
            </w:r>
            <w:proofErr w:type="spellStart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>sănătății</w:t>
            </w:r>
            <w:proofErr w:type="spellEnd"/>
            <w:r w:rsidRPr="001E39FE">
              <w:rPr>
                <w:rFonts w:ascii="Calibri" w:hAnsi="Calibri" w:cs="Times"/>
                <w:color w:val="000000"/>
                <w:sz w:val="16"/>
                <w:szCs w:val="16"/>
                <w:lang w:val="ro-RO"/>
              </w:rPr>
              <w:t xml:space="preserve"> reclamantei </w:t>
            </w:r>
          </w:p>
        </w:tc>
        <w:tc>
          <w:tcPr>
            <w:tcW w:w="2093" w:type="dxa"/>
            <w:vAlign w:val="center"/>
          </w:tcPr>
          <w:p w:rsidR="002C62C1" w:rsidRPr="00D3378F" w:rsidRDefault="002C62C1" w:rsidP="002C6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16"/>
                <w:szCs w:val="16"/>
              </w:rPr>
            </w:pPr>
            <w:r w:rsidRPr="00D3378F">
              <w:rPr>
                <w:rFonts w:ascii="Calibri" w:hAnsi="Calibri" w:cs="Times"/>
                <w:sz w:val="16"/>
                <w:szCs w:val="16"/>
              </w:rPr>
              <w:t xml:space="preserve">Suma </w:t>
            </w:r>
            <w:proofErr w:type="spellStart"/>
            <w:r w:rsidRPr="00D3378F">
              <w:rPr>
                <w:rFonts w:ascii="Calibri" w:hAnsi="Calibri" w:cs="Times"/>
                <w:sz w:val="16"/>
                <w:szCs w:val="16"/>
              </w:rPr>
              <w:t>totala</w:t>
            </w:r>
            <w:proofErr w:type="spellEnd"/>
            <w:r w:rsidRPr="00D3378F">
              <w:rPr>
                <w:rFonts w:ascii="Calibri" w:hAnsi="Calibri" w:cs="Times"/>
                <w:sz w:val="16"/>
                <w:szCs w:val="16"/>
              </w:rPr>
              <w:t xml:space="preserve">̆: EUR 5,940 </w:t>
            </w:r>
            <w:proofErr w:type="spellStart"/>
            <w:r w:rsidRPr="00D3378F">
              <w:rPr>
                <w:rFonts w:ascii="Calibri" w:hAnsi="Calibri" w:cs="Times"/>
                <w:sz w:val="16"/>
                <w:szCs w:val="16"/>
              </w:rPr>
              <w:t>Prejud</w:t>
            </w:r>
            <w:proofErr w:type="spellEnd"/>
            <w:r w:rsidRPr="00D3378F">
              <w:rPr>
                <w:rFonts w:ascii="Calibri" w:hAnsi="Calibri" w:cs="Times"/>
                <w:sz w:val="16"/>
                <w:szCs w:val="16"/>
              </w:rPr>
              <w:t xml:space="preserve">. </w:t>
            </w:r>
            <w:proofErr w:type="gramStart"/>
            <w:r w:rsidRPr="00D3378F">
              <w:rPr>
                <w:rFonts w:ascii="Calibri" w:hAnsi="Calibri" w:cs="Times"/>
                <w:sz w:val="16"/>
                <w:szCs w:val="16"/>
              </w:rPr>
              <w:t>moral</w:t>
            </w:r>
            <w:proofErr w:type="gramEnd"/>
            <w:r w:rsidRPr="00D3378F">
              <w:rPr>
                <w:rFonts w:ascii="Calibri" w:hAnsi="Calibri" w:cs="Times"/>
                <w:sz w:val="16"/>
                <w:szCs w:val="16"/>
              </w:rPr>
              <w:t xml:space="preserve"> – EUR 4,500 Cost. </w:t>
            </w:r>
            <w:proofErr w:type="spellStart"/>
            <w:proofErr w:type="gramStart"/>
            <w:r w:rsidRPr="00D3378F">
              <w:rPr>
                <w:rFonts w:ascii="Calibri" w:hAnsi="Calibri" w:cs="Times"/>
                <w:sz w:val="16"/>
                <w:szCs w:val="16"/>
              </w:rPr>
              <w:t>şi</w:t>
            </w:r>
            <w:proofErr w:type="spellEnd"/>
            <w:proofErr w:type="gramEnd"/>
            <w:r w:rsidRPr="00D3378F">
              <w:rPr>
                <w:rFonts w:ascii="Calibri" w:hAnsi="Calibri" w:cs="Times"/>
                <w:sz w:val="16"/>
                <w:szCs w:val="16"/>
              </w:rPr>
              <w:t xml:space="preserve"> </w:t>
            </w:r>
            <w:proofErr w:type="spellStart"/>
            <w:r w:rsidRPr="00D3378F">
              <w:rPr>
                <w:rFonts w:ascii="Calibri" w:hAnsi="Calibri" w:cs="Times"/>
                <w:sz w:val="16"/>
                <w:szCs w:val="16"/>
              </w:rPr>
              <w:t>chelt</w:t>
            </w:r>
            <w:proofErr w:type="spellEnd"/>
            <w:r w:rsidRPr="00D3378F">
              <w:rPr>
                <w:rFonts w:ascii="Calibri" w:hAnsi="Calibri" w:cs="Times"/>
                <w:sz w:val="16"/>
                <w:szCs w:val="16"/>
              </w:rPr>
              <w:t xml:space="preserve">. – EUR 1,440 </w:t>
            </w:r>
          </w:p>
          <w:p w:rsidR="002C62C1" w:rsidRPr="001E39FE" w:rsidRDefault="002C62C1" w:rsidP="002C62C1">
            <w:pPr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D3378F">
              <w:rPr>
                <w:rFonts w:ascii="Calibri" w:hAnsi="Calibri" w:cs="Times"/>
                <w:sz w:val="16"/>
                <w:szCs w:val="16"/>
              </w:rPr>
              <w:t xml:space="preserve"> </w:t>
            </w:r>
          </w:p>
        </w:tc>
        <w:tc>
          <w:tcPr>
            <w:tcW w:w="4477" w:type="dxa"/>
          </w:tcPr>
          <w:p w:rsidR="002C62C1" w:rsidRDefault="002C62C1" w:rsidP="002C62C1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Judecătoria Centru: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Djeta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Chistol</w:t>
            </w:r>
            <w:proofErr w:type="spellEnd"/>
          </w:p>
          <w:p w:rsidR="002C62C1" w:rsidRDefault="002C62C1" w:rsidP="002C62C1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Curtea de Apel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Chişinău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>: Cimpoi Iulia</w:t>
            </w:r>
          </w:p>
          <w:p w:rsidR="002C62C1" w:rsidRPr="001E39FE" w:rsidRDefault="002C62C1" w:rsidP="002C62C1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Curtea Supremă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Justiţie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Stratulat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 Galina, Doagă Valeriu, </w:t>
            </w:r>
            <w:proofErr w:type="spellStart"/>
            <w:r w:rsidRPr="00A773C0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Chişca-Doneva</w:t>
            </w:r>
            <w:proofErr w:type="spellEnd"/>
            <w:r w:rsidRPr="00A773C0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 xml:space="preserve"> Tamara</w:t>
            </w:r>
            <w:r>
              <w:rPr>
                <w:rFonts w:ascii="Calibri" w:hAnsi="Calibri" w:cs="Calibri"/>
                <w:sz w:val="16"/>
                <w:szCs w:val="16"/>
                <w:lang w:val="ro-RO"/>
              </w:rPr>
              <w:t>.</w:t>
            </w:r>
          </w:p>
        </w:tc>
      </w:tr>
      <w:tr w:rsidR="0041617D" w:rsidRPr="00DE378E" w:rsidTr="00DF1FD0">
        <w:trPr>
          <w:trHeight w:val="848"/>
        </w:trPr>
        <w:tc>
          <w:tcPr>
            <w:tcW w:w="450" w:type="dxa"/>
          </w:tcPr>
          <w:p w:rsidR="0041617D" w:rsidRDefault="0041617D" w:rsidP="0041617D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5.</w:t>
            </w:r>
          </w:p>
        </w:tc>
        <w:tc>
          <w:tcPr>
            <w:tcW w:w="1913" w:type="dxa"/>
          </w:tcPr>
          <w:p w:rsidR="0041617D" w:rsidRPr="00816EB6" w:rsidRDefault="0041617D" w:rsidP="0041617D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Garamond" w:eastAsiaTheme="minorHAnsi" w:hAnsi="Garamond" w:cs="Calibri"/>
                <w:b/>
                <w:lang w:val="ro-RO"/>
              </w:rPr>
            </w:pPr>
            <w:r w:rsidRPr="00816EB6">
              <w:rPr>
                <w:rStyle w:val="85pt"/>
                <w:rFonts w:ascii="Garamond" w:eastAsiaTheme="minorHAnsi" w:hAnsi="Garamond" w:cs="Calibri"/>
                <w:b/>
                <w:lang w:val="ro-RO"/>
              </w:rPr>
              <w:t>B. c. Moldovei</w:t>
            </w:r>
          </w:p>
        </w:tc>
        <w:tc>
          <w:tcPr>
            <w:tcW w:w="984" w:type="dxa"/>
          </w:tcPr>
          <w:p w:rsidR="0041617D" w:rsidRPr="00296998" w:rsidRDefault="0041617D" w:rsidP="0041617D">
            <w:pPr>
              <w:ind w:left="-108" w:right="-108"/>
              <w:jc w:val="center"/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</w:pPr>
            <w:r w:rsidRPr="00296998">
              <w:rPr>
                <w:rStyle w:val="85pt"/>
                <w:rFonts w:ascii="Calibri" w:hAnsi="Calibri" w:cs="Calibri"/>
                <w:b w:val="0"/>
                <w:sz w:val="16"/>
                <w:szCs w:val="16"/>
                <w:lang w:val="ro-RO"/>
              </w:rPr>
              <w:t>16/07/2013</w:t>
            </w:r>
          </w:p>
        </w:tc>
        <w:tc>
          <w:tcPr>
            <w:tcW w:w="1086" w:type="dxa"/>
          </w:tcPr>
          <w:p w:rsidR="0041617D" w:rsidRPr="00296998" w:rsidRDefault="0041617D" w:rsidP="0041617D">
            <w:pPr>
              <w:ind w:left="-12"/>
              <w:jc w:val="center"/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</w:pPr>
            <w:r w:rsidRPr="00296998">
              <w:rPr>
                <w:rStyle w:val="85pt0"/>
                <w:rFonts w:ascii="Calibri" w:hAnsi="Calibri" w:cs="Calibri"/>
                <w:b w:val="0"/>
                <w:i w:val="0"/>
                <w:sz w:val="16"/>
                <w:szCs w:val="16"/>
                <w:lang w:val="ro-RO"/>
              </w:rPr>
              <w:t>61382/09</w:t>
            </w:r>
          </w:p>
        </w:tc>
        <w:tc>
          <w:tcPr>
            <w:tcW w:w="4207" w:type="dxa"/>
          </w:tcPr>
          <w:p w:rsidR="0041617D" w:rsidRPr="00296998" w:rsidRDefault="0041617D" w:rsidP="0041617D">
            <w:pPr>
              <w:rPr>
                <w:rFonts w:ascii="Calibri" w:hAnsi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violarea art. 3 CEDO</w:t>
            </w:r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– omisiunea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>autorităţilor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de a proteja reclamantul de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>violenţa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fostului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>soţ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; </w:t>
            </w:r>
          </w:p>
          <w:p w:rsidR="0041617D" w:rsidRPr="00296998" w:rsidRDefault="0041617D" w:rsidP="0041617D">
            <w:pPr>
              <w:rPr>
                <w:rStyle w:val="85pt"/>
                <w:rFonts w:ascii="Calibri" w:hAnsi="Calibri" w:cs="TT2Bo00"/>
                <w:b w:val="0"/>
                <w:bCs w:val="0"/>
                <w:sz w:val="16"/>
                <w:szCs w:val="16"/>
                <w:lang w:val="ro-RO" w:eastAsia="en-GB"/>
              </w:rPr>
            </w:pPr>
            <w:r w:rsidRPr="00296998">
              <w:rPr>
                <w:rFonts w:ascii="Calibri" w:hAnsi="Calibri"/>
                <w:sz w:val="16"/>
                <w:szCs w:val="16"/>
                <w:u w:val="single"/>
                <w:lang w:val="ro-RO"/>
              </w:rPr>
              <w:t>violarea art. 8 CEDO</w:t>
            </w:r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– emiterea unei decizii de către CSJ care a pus reclamantul în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>situaţia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să fie supusă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>violenţei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sau să-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>şi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 xml:space="preserve"> părăsească </w:t>
            </w:r>
            <w:proofErr w:type="spellStart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>locuinţa</w:t>
            </w:r>
            <w:proofErr w:type="spellEnd"/>
            <w:r w:rsidRPr="00296998">
              <w:rPr>
                <w:rFonts w:ascii="Calibri" w:hAnsi="Calibri"/>
                <w:sz w:val="16"/>
                <w:szCs w:val="16"/>
                <w:lang w:val="ro-RO"/>
              </w:rPr>
              <w:t>.</w:t>
            </w:r>
          </w:p>
        </w:tc>
        <w:tc>
          <w:tcPr>
            <w:tcW w:w="2093" w:type="dxa"/>
          </w:tcPr>
          <w:p w:rsidR="0041617D" w:rsidRPr="00296998" w:rsidRDefault="0041617D" w:rsidP="0041617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18,000</w:t>
            </w:r>
          </w:p>
          <w:p w:rsidR="0041617D" w:rsidRPr="00296998" w:rsidRDefault="0041617D" w:rsidP="0041617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15,000</w:t>
            </w:r>
          </w:p>
          <w:p w:rsidR="0041617D" w:rsidRPr="00296998" w:rsidRDefault="0041617D" w:rsidP="0041617D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Theme="minorHAnsi" w:hAnsi="Calibri" w:cs="Calibri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- EUR 3,000</w:t>
            </w:r>
          </w:p>
        </w:tc>
        <w:tc>
          <w:tcPr>
            <w:tcW w:w="4477" w:type="dxa"/>
          </w:tcPr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Decizia Curții Supreme de Justiție din 20.05.2009 privind casarea integrală a Deciziei Curții de Apel Chișinău și a Hotărârii Judecătoriei Centru Chișinău și pronunțând o nouă hotărâre. Instanța hotărăște partajarea unui imobil inexistent, figurând doar pe proiect.</w:t>
            </w:r>
          </w:p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</w:t>
            </w: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Nina Cernat, </w:t>
            </w:r>
            <w:r w:rsidRPr="00515299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Tamara CHI</w:t>
            </w:r>
            <w:r w:rsidRPr="00515299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Ș</w:t>
            </w:r>
            <w:r w:rsidRPr="00515299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CA-DONEVA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Valeriu Arhip, Vasile Ignat, Galina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Stratulat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.</w:t>
            </w:r>
          </w:p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Ordonanța de protecție a Judecătoriei Centru Chișinău din 02.09.2011 privind admiterea parțială a cererii și a măsurilor de protecție.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Instanţa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a admis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parţial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cererea refuzând victimei de a obligare agresorul să părăsească domiciliul comun</w:t>
            </w:r>
          </w:p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Judecător: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Liubovi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Brînză</w:t>
            </w:r>
            <w:proofErr w:type="spellEnd"/>
          </w:p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Decizia Curții de Apel Chișinău din 02.11.2011 privind respingerea recursului declarat de B. în legătură cu obligarea de a părăsi temporar locuința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comnună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. </w:t>
            </w:r>
          </w:p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Nina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Vascan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Valeriu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Bogoroș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Anatol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Pahopol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.</w:t>
            </w:r>
          </w:p>
          <w:p w:rsidR="0041617D" w:rsidRPr="00296998" w:rsidRDefault="0041617D" w:rsidP="0041617D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261485" w:rsidRPr="00DE378E" w:rsidTr="00DF1FD0">
        <w:trPr>
          <w:trHeight w:val="848"/>
        </w:trPr>
        <w:tc>
          <w:tcPr>
            <w:tcW w:w="450" w:type="dxa"/>
          </w:tcPr>
          <w:p w:rsidR="00261485" w:rsidRDefault="00261485" w:rsidP="00261485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6.</w:t>
            </w:r>
          </w:p>
        </w:tc>
        <w:tc>
          <w:tcPr>
            <w:tcW w:w="1913" w:type="dxa"/>
          </w:tcPr>
          <w:p w:rsidR="00261485" w:rsidRPr="00431043" w:rsidRDefault="00261485" w:rsidP="00261485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GODOROZEA </w:t>
            </w: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84" w:type="dxa"/>
          </w:tcPr>
          <w:p w:rsidR="00261485" w:rsidRPr="00431043" w:rsidRDefault="00261485" w:rsidP="00261485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06.10.2009</w:t>
            </w:r>
          </w:p>
        </w:tc>
        <w:tc>
          <w:tcPr>
            <w:tcW w:w="1086" w:type="dxa"/>
          </w:tcPr>
          <w:p w:rsidR="00261485" w:rsidRPr="00620A63" w:rsidRDefault="00261485" w:rsidP="00261485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F27D65">
              <w:rPr>
                <w:rFonts w:ascii="Garamond" w:hAnsi="Garamond"/>
                <w:i/>
                <w:sz w:val="16"/>
                <w:szCs w:val="16"/>
                <w:lang w:val="ro-RO"/>
              </w:rPr>
              <w:t>17023/05</w:t>
            </w:r>
          </w:p>
        </w:tc>
        <w:tc>
          <w:tcPr>
            <w:tcW w:w="4207" w:type="dxa"/>
          </w:tcPr>
          <w:p w:rsidR="00261485" w:rsidRPr="00431043" w:rsidRDefault="00261485" w:rsidP="00261485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67A07">
              <w:rPr>
                <w:rStyle w:val="Strong"/>
                <w:rFonts w:ascii="Garamond" w:hAnsi="Garamond" w:cs="Tahoma"/>
                <w:b w:val="0"/>
                <w:sz w:val="16"/>
                <w:szCs w:val="16"/>
                <w:u w:val="single"/>
                <w:lang w:val="ro-RO"/>
              </w:rPr>
              <w:t>violarea</w:t>
            </w:r>
            <w:r w:rsidRPr="00167A07">
              <w:rPr>
                <w:rFonts w:ascii="Garamond" w:hAnsi="Garamond"/>
                <w:color w:val="000000"/>
                <w:sz w:val="16"/>
                <w:szCs w:val="16"/>
                <w:u w:val="single"/>
                <w:lang w:val="ro-RO"/>
              </w:rPr>
              <w:t xml:space="preserve"> art. 6 </w:t>
            </w:r>
            <w:r w:rsidRPr="00167A07">
              <w:rPr>
                <w:rFonts w:ascii="Garamond" w:hAnsi="Garamond"/>
                <w:bCs/>
                <w:color w:val="000000"/>
                <w:sz w:val="16"/>
                <w:szCs w:val="16"/>
                <w:u w:val="single"/>
                <w:lang w:val="ro-RO"/>
              </w:rPr>
              <w:t>§ 1</w:t>
            </w:r>
            <w:r w:rsidRPr="00167A07">
              <w:rPr>
                <w:rFonts w:ascii="Garamond" w:hAnsi="Garamond"/>
                <w:color w:val="000000"/>
                <w:sz w:val="16"/>
                <w:szCs w:val="16"/>
                <w:u w:val="single"/>
                <w:lang w:val="ro-RO"/>
              </w:rPr>
              <w:t xml:space="preserve"> al </w:t>
            </w:r>
            <w:proofErr w:type="spellStart"/>
            <w:r w:rsidRPr="00167A07">
              <w:rPr>
                <w:rFonts w:ascii="Garamond" w:hAnsi="Garamond"/>
                <w:color w:val="000000"/>
                <w:sz w:val="16"/>
                <w:szCs w:val="16"/>
                <w:u w:val="single"/>
                <w:lang w:val="ro-RO"/>
              </w:rPr>
              <w:t>Convenţiei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</w:t>
            </w:r>
            <w:r w:rsidRPr="00431043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(dreptul la un proces echitabil) –</w:t>
            </w:r>
            <w:r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necitarea</w:t>
            </w:r>
            <w:proofErr w:type="spellEnd"/>
            <w:r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reclamantului în judecată.</w:t>
            </w:r>
          </w:p>
        </w:tc>
        <w:tc>
          <w:tcPr>
            <w:tcW w:w="2093" w:type="dxa"/>
          </w:tcPr>
          <w:p w:rsidR="00261485" w:rsidRPr="00431043" w:rsidRDefault="00261485" w:rsidP="00261485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moral.- € 1,000</w:t>
            </w:r>
          </w:p>
          <w:p w:rsidR="00261485" w:rsidRPr="00431043" w:rsidRDefault="00261485" w:rsidP="00261485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431043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.- €  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530</w:t>
            </w:r>
          </w:p>
        </w:tc>
        <w:tc>
          <w:tcPr>
            <w:tcW w:w="4477" w:type="dxa"/>
          </w:tcPr>
          <w:p w:rsidR="00261485" w:rsidRPr="00F15B8B" w:rsidRDefault="00261485" w:rsidP="00261485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F15B8B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Au examinat cauza în </w:t>
            </w:r>
            <w:proofErr w:type="spellStart"/>
            <w:r w:rsidRPr="00F15B8B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instanţa</w:t>
            </w:r>
            <w:proofErr w:type="spellEnd"/>
            <w:r w:rsidRPr="00F15B8B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recurs – </w:t>
            </w:r>
            <w:r w:rsidRPr="00FA204D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Tamara</w:t>
            </w:r>
            <w:r w:rsidRPr="00FA204D">
              <w:rPr>
                <w:rFonts w:ascii="Garamond" w:hAnsi="Garamond"/>
                <w:sz w:val="16"/>
                <w:szCs w:val="16"/>
                <w:highlight w:val="yellow"/>
                <w:lang w:val="ro-RO"/>
              </w:rPr>
              <w:t xml:space="preserve"> CHIŞCĂ-DONEVA</w:t>
            </w:r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 xml:space="preserve">, E. </w:t>
            </w:r>
            <w:proofErr w:type="spellStart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>Fistican</w:t>
            </w:r>
            <w:proofErr w:type="spellEnd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 xml:space="preserve">, V. </w:t>
            </w:r>
            <w:proofErr w:type="spellStart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>Timofti</w:t>
            </w:r>
            <w:proofErr w:type="spellEnd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 xml:space="preserve">, M. Nicolaev </w:t>
            </w:r>
            <w:proofErr w:type="spellStart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>şi</w:t>
            </w:r>
            <w:proofErr w:type="spellEnd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 xml:space="preserve"> D. </w:t>
            </w:r>
            <w:proofErr w:type="spellStart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>Vition</w:t>
            </w:r>
            <w:proofErr w:type="spellEnd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 xml:space="preserve">, judecători, Curtea Supremă de </w:t>
            </w:r>
            <w:proofErr w:type="spellStart"/>
            <w:r w:rsidRPr="00F15B8B">
              <w:rPr>
                <w:rFonts w:ascii="Garamond" w:hAnsi="Garamond"/>
                <w:sz w:val="16"/>
                <w:szCs w:val="16"/>
                <w:lang w:val="ro-RO"/>
              </w:rPr>
              <w:t>Justiţie</w:t>
            </w:r>
            <w:proofErr w:type="spellEnd"/>
          </w:p>
        </w:tc>
      </w:tr>
      <w:tr w:rsidR="00261485" w:rsidRPr="00DE378E" w:rsidTr="00DF1FD0">
        <w:trPr>
          <w:trHeight w:val="848"/>
        </w:trPr>
        <w:tc>
          <w:tcPr>
            <w:tcW w:w="450" w:type="dxa"/>
          </w:tcPr>
          <w:p w:rsidR="00261485" w:rsidRDefault="00261485" w:rsidP="00261485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7.</w:t>
            </w:r>
          </w:p>
        </w:tc>
        <w:tc>
          <w:tcPr>
            <w:tcW w:w="1913" w:type="dxa"/>
          </w:tcPr>
          <w:p w:rsidR="00261485" w:rsidRPr="00431043" w:rsidRDefault="00261485" w:rsidP="00261485">
            <w:pPr>
              <w:ind w:left="-82" w:right="-108"/>
              <w:rPr>
                <w:rStyle w:val="normal--char"/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ro-RO"/>
              </w:rPr>
            </w:pP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FLUX nr.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7</w:t>
            </w:r>
            <w:r w:rsidRPr="00431043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 c. Moldovei</w:t>
            </w:r>
          </w:p>
        </w:tc>
        <w:tc>
          <w:tcPr>
            <w:tcW w:w="984" w:type="dxa"/>
          </w:tcPr>
          <w:p w:rsidR="00261485" w:rsidRPr="004A121B" w:rsidRDefault="00261485" w:rsidP="00261485">
            <w:pPr>
              <w:ind w:left="-108" w:right="-108"/>
              <w:jc w:val="center"/>
              <w:rPr>
                <w:rFonts w:ascii="Garamond" w:hAnsi="Garamond"/>
                <w:color w:val="0000FF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24.11.2009</w:t>
            </w:r>
          </w:p>
        </w:tc>
        <w:tc>
          <w:tcPr>
            <w:tcW w:w="1086" w:type="dxa"/>
          </w:tcPr>
          <w:p w:rsidR="00261485" w:rsidRPr="00970A6D" w:rsidRDefault="00261485" w:rsidP="00261485">
            <w:pPr>
              <w:ind w:left="-144" w:right="-108"/>
              <w:jc w:val="center"/>
              <w:rPr>
                <w:rFonts w:ascii="Garamond" w:hAnsi="Garamond"/>
                <w:i/>
                <w:color w:val="0000FF"/>
                <w:sz w:val="16"/>
                <w:szCs w:val="16"/>
                <w:lang w:val="ro-RO"/>
              </w:rPr>
            </w:pPr>
            <w:r w:rsidRPr="00970A6D">
              <w:rPr>
                <w:rFonts w:ascii="Garamond" w:hAnsi="Garamond"/>
                <w:i/>
                <w:iCs/>
                <w:sz w:val="16"/>
                <w:szCs w:val="16"/>
              </w:rPr>
              <w:t>25367/05</w:t>
            </w:r>
          </w:p>
        </w:tc>
        <w:tc>
          <w:tcPr>
            <w:tcW w:w="4207" w:type="dxa"/>
          </w:tcPr>
          <w:p w:rsidR="00261485" w:rsidRPr="005B2B49" w:rsidRDefault="00261485" w:rsidP="00261485">
            <w:pPr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r w:rsidRPr="00D1066A">
              <w:rPr>
                <w:rFonts w:ascii="Garamond" w:hAnsi="Garamond" w:cs="Tahoma"/>
                <w:bCs/>
                <w:sz w:val="16"/>
                <w:szCs w:val="16"/>
                <w:u w:val="single"/>
                <w:lang w:val="ro-RO"/>
              </w:rPr>
              <w:t xml:space="preserve">violarea art. 10 al </w:t>
            </w:r>
            <w:proofErr w:type="spellStart"/>
            <w:r w:rsidRPr="00D1066A">
              <w:rPr>
                <w:rFonts w:ascii="Garamond" w:hAnsi="Garamond" w:cs="Tahoma"/>
                <w:bCs/>
                <w:sz w:val="16"/>
                <w:szCs w:val="16"/>
                <w:u w:val="single"/>
                <w:lang w:val="ro-RO"/>
              </w:rPr>
              <w:t>Convenţiei</w:t>
            </w:r>
            <w:proofErr w:type="spellEnd"/>
            <w:r w:rsidRPr="005B2B49">
              <w:rPr>
                <w:rFonts w:ascii="Garamond" w:hAnsi="Garamond" w:cs="Tahoma"/>
                <w:bCs/>
                <w:sz w:val="16"/>
                <w:szCs w:val="16"/>
                <w:lang w:val="ro-RO"/>
              </w:rPr>
              <w:t xml:space="preserve"> (libertatea de exprimare) - </w:t>
            </w:r>
            <w:r w:rsidRPr="005B2B49">
              <w:rPr>
                <w:rFonts w:ascii="Garamond" w:hAnsi="Garamond" w:cs="Tahoma"/>
                <w:sz w:val="16"/>
                <w:szCs w:val="16"/>
                <w:lang w:val="ro-RO"/>
              </w:rPr>
              <w:t xml:space="preserve">obligarea reclamantului fără o justificare suficientă să publice </w:t>
            </w:r>
            <w:proofErr w:type="spellStart"/>
            <w:r w:rsidRPr="005B2B49">
              <w:rPr>
                <w:rFonts w:ascii="Garamond" w:hAnsi="Garamond" w:cs="Tahoma"/>
                <w:sz w:val="16"/>
                <w:szCs w:val="16"/>
                <w:lang w:val="ro-RO"/>
              </w:rPr>
              <w:t>dezminţire</w:t>
            </w:r>
            <w:proofErr w:type="spellEnd"/>
            <w:r w:rsidRPr="005B2B49">
              <w:rPr>
                <w:rFonts w:ascii="Garamond" w:hAnsi="Garamond" w:cs="Tahoma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5B2B49">
              <w:rPr>
                <w:rFonts w:ascii="Garamond" w:hAnsi="Garamond" w:cs="Tahoma"/>
                <w:sz w:val="16"/>
                <w:szCs w:val="16"/>
                <w:lang w:val="ro-RO"/>
              </w:rPr>
              <w:t>şi</w:t>
            </w:r>
            <w:proofErr w:type="spellEnd"/>
            <w:r w:rsidRPr="005B2B49">
              <w:rPr>
                <w:rFonts w:ascii="Garamond" w:hAnsi="Garamond" w:cs="Tahoma"/>
                <w:sz w:val="16"/>
                <w:szCs w:val="16"/>
                <w:lang w:val="ro-RO"/>
              </w:rPr>
              <w:t xml:space="preserve"> plătească </w:t>
            </w:r>
            <w:proofErr w:type="spellStart"/>
            <w:r w:rsidRPr="005B2B49">
              <w:rPr>
                <w:rFonts w:ascii="Garamond" w:hAnsi="Garamond" w:cs="Tahoma"/>
                <w:sz w:val="16"/>
                <w:szCs w:val="16"/>
                <w:lang w:val="ro-RO"/>
              </w:rPr>
              <w:t>compensaţii</w:t>
            </w:r>
            <w:proofErr w:type="spellEnd"/>
            <w:r w:rsidRPr="005B2B49">
              <w:rPr>
                <w:rFonts w:ascii="Garamond" w:hAnsi="Garamond" w:cs="Tahoma"/>
                <w:sz w:val="16"/>
                <w:szCs w:val="16"/>
                <w:lang w:val="ro-RO"/>
              </w:rPr>
              <w:t xml:space="preserve"> lui Victor STEPANIUC pentru publicarea în ziarul Flux a unui articol.</w:t>
            </w:r>
          </w:p>
        </w:tc>
        <w:tc>
          <w:tcPr>
            <w:tcW w:w="2093" w:type="dxa"/>
          </w:tcPr>
          <w:p w:rsidR="00261485" w:rsidRPr="00327C07" w:rsidRDefault="00261485" w:rsidP="00261485">
            <w:pPr>
              <w:ind w:right="-108"/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Prejud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mater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.- € 12.25</w:t>
            </w:r>
          </w:p>
          <w:p w:rsidR="00261485" w:rsidRPr="00327C07" w:rsidRDefault="00261485" w:rsidP="00261485">
            <w:pPr>
              <w:rPr>
                <w:rFonts w:ascii="Garamond" w:hAnsi="Garamond"/>
                <w:sz w:val="16"/>
                <w:szCs w:val="16"/>
                <w:lang w:val="ro-RO"/>
              </w:rPr>
            </w:pP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Prejud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. moral.- € 3,000</w:t>
            </w:r>
          </w:p>
          <w:p w:rsidR="00261485" w:rsidRPr="004A121B" w:rsidRDefault="00261485" w:rsidP="00261485">
            <w:pPr>
              <w:ind w:right="-108"/>
              <w:jc w:val="both"/>
              <w:rPr>
                <w:rFonts w:ascii="Garamond" w:hAnsi="Garamond"/>
                <w:color w:val="0000FF"/>
                <w:sz w:val="16"/>
                <w:szCs w:val="16"/>
                <w:lang w:val="ro-RO"/>
              </w:rPr>
            </w:pPr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Cost/</w:t>
            </w:r>
            <w:proofErr w:type="spellStart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chelt</w:t>
            </w:r>
            <w:proofErr w:type="spellEnd"/>
            <w:r w:rsidRPr="00327C07">
              <w:rPr>
                <w:rFonts w:ascii="Garamond" w:hAnsi="Garamond"/>
                <w:sz w:val="16"/>
                <w:szCs w:val="16"/>
                <w:lang w:val="ro-RO"/>
              </w:rPr>
              <w:t>.- €  1,800</w:t>
            </w:r>
          </w:p>
        </w:tc>
        <w:tc>
          <w:tcPr>
            <w:tcW w:w="4477" w:type="dxa"/>
          </w:tcPr>
          <w:p w:rsidR="00261485" w:rsidRPr="00033B40" w:rsidRDefault="00261485" w:rsidP="00261485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033B4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A admis cererea de chemare în judecată  - Iu. Bejenaru, Preşedinte, Judecătoria Buiucani, mun. Chişinău;</w:t>
            </w:r>
          </w:p>
          <w:p w:rsidR="00261485" w:rsidRPr="00033B40" w:rsidRDefault="00261485" w:rsidP="00261485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033B4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Au menţinut în apel hotătârea judecătoriei de sector – M. Ciugureamu, A. Gavriliţă, G. Zubati, vicepreşedinte şi, respectiv, judecători, Curtea de Apel Chişinău;</w:t>
            </w:r>
          </w:p>
          <w:p w:rsidR="00261485" w:rsidRDefault="00261485" w:rsidP="00261485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  <w:r w:rsidRPr="00033B4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 xml:space="preserve">Au menţinut în recurs hotătârea judecătoriei de sector – V. Maciskaia, S. Novac, Iu. Oprea, </w:t>
            </w:r>
            <w:r w:rsidRPr="00FA204D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Tamara</w:t>
            </w:r>
            <w:r w:rsidRPr="00FA204D">
              <w:rPr>
                <w:rFonts w:ascii="Garamond" w:hAnsi="Garamond"/>
                <w:noProof/>
                <w:color w:val="000000"/>
                <w:sz w:val="16"/>
                <w:szCs w:val="16"/>
                <w:highlight w:val="yellow"/>
                <w:lang w:val="ro-RO"/>
              </w:rPr>
              <w:t xml:space="preserve"> CHIŞCĂ-DONEVA</w:t>
            </w:r>
            <w:r w:rsidRPr="00033B40"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  <w:t>, I. Platon, judecători, Curtea Supremă de Justiţie.</w:t>
            </w:r>
          </w:p>
          <w:p w:rsidR="00261485" w:rsidRPr="00033B40" w:rsidRDefault="00261485" w:rsidP="00261485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="Garamond" w:hAnsi="Garamond"/>
                <w:noProof/>
                <w:color w:val="000000"/>
                <w:sz w:val="16"/>
                <w:szCs w:val="16"/>
                <w:lang w:val="ro-RO"/>
              </w:rPr>
            </w:pPr>
          </w:p>
        </w:tc>
      </w:tr>
      <w:tr w:rsidR="00261485" w:rsidRPr="00DE378E" w:rsidTr="00DF1FD0">
        <w:trPr>
          <w:trHeight w:val="848"/>
        </w:trPr>
        <w:tc>
          <w:tcPr>
            <w:tcW w:w="450" w:type="dxa"/>
          </w:tcPr>
          <w:p w:rsidR="00261485" w:rsidRDefault="00261485" w:rsidP="00261485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8.</w:t>
            </w:r>
          </w:p>
        </w:tc>
        <w:tc>
          <w:tcPr>
            <w:tcW w:w="1913" w:type="dxa"/>
          </w:tcPr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MACOVEI </w:t>
            </w:r>
            <w:proofErr w:type="spellStart"/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ş.a</w:t>
            </w:r>
            <w:proofErr w:type="spellEnd"/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84" w:type="dxa"/>
          </w:tcPr>
          <w:p w:rsidR="00261485" w:rsidRPr="00910FCD" w:rsidRDefault="00261485" w:rsidP="00261485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25.04.2006</w:t>
            </w:r>
          </w:p>
        </w:tc>
        <w:tc>
          <w:tcPr>
            <w:tcW w:w="1086" w:type="dxa"/>
          </w:tcPr>
          <w:p w:rsidR="00261485" w:rsidRPr="00910FCD" w:rsidRDefault="00261485" w:rsidP="00261485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19253/03</w:t>
            </w:r>
          </w:p>
          <w:p w:rsidR="00261485" w:rsidRPr="00910FCD" w:rsidRDefault="00261485" w:rsidP="00261485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proofErr w:type="spellStart"/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ş.a</w:t>
            </w:r>
            <w:proofErr w:type="spellEnd"/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4207" w:type="dxa"/>
          </w:tcPr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6 al </w:t>
            </w:r>
            <w:proofErr w:type="spellStart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(dreptul la un proces echitabil) </w:t>
            </w:r>
            <w:proofErr w:type="spellStart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</w:t>
            </w:r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art. 1 al Protocolului </w:t>
            </w:r>
            <w:proofErr w:type="spellStart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adiţional</w:t>
            </w:r>
            <w:proofErr w:type="spellEnd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protecţia</w:t>
            </w:r>
            <w:proofErr w:type="spellEnd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proprietăţii</w:t>
            </w:r>
            <w:proofErr w:type="spellEnd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) – </w:t>
            </w:r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lipsirea de efecte a hotărârilor </w:t>
            </w:r>
            <w:proofErr w:type="spellStart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judecătoreşti</w:t>
            </w:r>
            <w:proofErr w:type="spellEnd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privind obligarea Companiei QBE ASITO să execute contractele de asigurare cu pensie suplimentară prin admiterea ulterioară a cererii Companiei QBE </w:t>
            </w:r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ASITO de desfacere a acestor contracte pe motiv de </w:t>
            </w:r>
            <w:proofErr w:type="spellStart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hardship</w:t>
            </w:r>
            <w:proofErr w:type="spellEnd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în urma hotărârii Plenului </w:t>
            </w:r>
            <w:proofErr w:type="spellStart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Curţii</w:t>
            </w:r>
            <w:proofErr w:type="spellEnd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Supreme de </w:t>
            </w:r>
            <w:proofErr w:type="spellStart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Justiţie</w:t>
            </w:r>
            <w:proofErr w:type="spellEnd"/>
            <w:r w:rsidRPr="00B2259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din 11.03.2002 pe marginea demersului în interesul legii al Procurorului General.</w:t>
            </w:r>
          </w:p>
        </w:tc>
        <w:tc>
          <w:tcPr>
            <w:tcW w:w="2093" w:type="dxa"/>
          </w:tcPr>
          <w:p w:rsidR="00261485" w:rsidRPr="00910FCD" w:rsidRDefault="00261485" w:rsidP="00261485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Comp. 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mater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€ 6,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896</w:t>
            </w:r>
          </w:p>
          <w:p w:rsidR="00261485" w:rsidRPr="00910FCD" w:rsidRDefault="00261485" w:rsidP="00261485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moral.- € 12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€ 2,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463</w:t>
            </w:r>
          </w:p>
        </w:tc>
        <w:tc>
          <w:tcPr>
            <w:tcW w:w="4477" w:type="dxa"/>
          </w:tcPr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(a) Adoptarea hotărârii Plenului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Curţii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Supreme de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Justiţie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din 11.03.2002 - Valeria ŞTERBEŢ, Nicolae CLIMA,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Nicanor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COJOCARU, Vera MACINSKAIA, Vasile PASCARI, Alexandru MARDARE, Natalia MOLDOVANU, Anastasia PASCARI, Tudor 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POPOVICI, Iurie ŞUMCOV, Dumitru VISTERNICEAN, judecători, Curtea Supremă de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Justiţie</w:t>
            </w:r>
            <w:proofErr w:type="spellEnd"/>
          </w:p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solicitarea adoptării hotărârii din 11.03.2002 - Vasile SOLOMON, Procuror General interimar. </w:t>
            </w:r>
          </w:p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(c) Au aplicat hotărârea din 11.03.2002 cauzelor deja examinate, reziliind contractele de asigurare pe care compania ASITO era obligată să le execute în temeiul hotărârilor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judecătoreşti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:  </w:t>
            </w:r>
          </w:p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- Nicolae TIMOFTI,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Nelea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BUDĂI, Gheorghe GORUN, Tatiana RĂDUCANU, </w:t>
            </w:r>
            <w:r w:rsidRPr="00FA204D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Tamara DONEVA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Valentina CLEVADÎ; Mihai POALELUNGI, judecători, Curtea de Apel a Republicii Moldova;</w:t>
            </w:r>
          </w:p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- Iulia SÎRCU, Nina TRACIUC, Ludmila POPOV, Nina VASCAN, Ana PANOV, Nina CERNAT, Valeriu ARHIP, Lidia BULGAC, judecători, Tribunalul mun.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Chişinău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;</w:t>
            </w:r>
          </w:p>
          <w:p w:rsidR="00261485" w:rsidRPr="00910FCD" w:rsidRDefault="00261485" w:rsidP="00261485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- Iurie COTRUŢĂ, judecăt</w:t>
            </w:r>
            <w:r w:rsidR="00881DA4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or, judecătoria sect. Botanica.</w:t>
            </w:r>
          </w:p>
        </w:tc>
      </w:tr>
    </w:tbl>
    <w:p w:rsidR="000B5735" w:rsidRPr="00D3378F" w:rsidRDefault="00DF1FD0">
      <w:pPr>
        <w:rPr>
          <w:lang w:val="ro-RO"/>
        </w:rPr>
      </w:pPr>
    </w:p>
    <w:sectPr w:rsidR="000B5735" w:rsidRPr="00D3378F" w:rsidSect="00DF1F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T2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5F18"/>
    <w:multiLevelType w:val="hybridMultilevel"/>
    <w:tmpl w:val="8D06A8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C6"/>
    <w:rsid w:val="00000B9F"/>
    <w:rsid w:val="00001683"/>
    <w:rsid w:val="00001E04"/>
    <w:rsid w:val="0000513A"/>
    <w:rsid w:val="0000718F"/>
    <w:rsid w:val="0001079B"/>
    <w:rsid w:val="0001137E"/>
    <w:rsid w:val="00015EDE"/>
    <w:rsid w:val="0001779C"/>
    <w:rsid w:val="000212B8"/>
    <w:rsid w:val="000244A0"/>
    <w:rsid w:val="000306F6"/>
    <w:rsid w:val="00032901"/>
    <w:rsid w:val="00032DA5"/>
    <w:rsid w:val="00036019"/>
    <w:rsid w:val="00040E97"/>
    <w:rsid w:val="00053200"/>
    <w:rsid w:val="00055C85"/>
    <w:rsid w:val="00055D03"/>
    <w:rsid w:val="00056284"/>
    <w:rsid w:val="000569CA"/>
    <w:rsid w:val="00060584"/>
    <w:rsid w:val="00062568"/>
    <w:rsid w:val="000643B6"/>
    <w:rsid w:val="0006797B"/>
    <w:rsid w:val="0007126F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1485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C62C1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17D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5299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C2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2608"/>
    <w:rsid w:val="007F74D4"/>
    <w:rsid w:val="007F767D"/>
    <w:rsid w:val="0080173C"/>
    <w:rsid w:val="00806794"/>
    <w:rsid w:val="0081215E"/>
    <w:rsid w:val="00815747"/>
    <w:rsid w:val="00816EB6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1DA4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A5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773C0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378F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76BA2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0DFF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129F"/>
    <w:rsid w:val="00DF1FD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1E14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EA4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A382D"/>
    <w:rsid w:val="00FB07A1"/>
    <w:rsid w:val="00FB23CF"/>
    <w:rsid w:val="00FB2FA0"/>
    <w:rsid w:val="00FB3424"/>
    <w:rsid w:val="00FB3EAE"/>
    <w:rsid w:val="00FB43C6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A0DA415-CCDA-4ED2-B26A-004CE6F1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FB4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FB43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FB43C6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B43C6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table" w:styleId="TableGrid">
    <w:name w:val="Table Grid"/>
    <w:basedOn w:val="TableNormal"/>
    <w:rsid w:val="00FB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B43C6"/>
    <w:rPr>
      <w:b/>
      <w:bCs/>
    </w:rPr>
  </w:style>
  <w:style w:type="paragraph" w:styleId="NormalWeb">
    <w:name w:val="Normal (Web)"/>
    <w:basedOn w:val="Normal"/>
    <w:rsid w:val="00FB43C6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DefaultParagraphFont"/>
    <w:rsid w:val="00FB43C6"/>
  </w:style>
  <w:style w:type="character" w:styleId="Hyperlink">
    <w:name w:val="Hyperlink"/>
    <w:rsid w:val="00D33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hr.md/news/5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doc.echr.coe.int/eng" TargetMode="External"/><Relationship Id="rId5" Type="http://schemas.openxmlformats.org/officeDocument/2006/relationships/hyperlink" Target="http://lhr.md/news/49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RePack by Diakov</cp:lastModifiedBy>
  <cp:revision>10</cp:revision>
  <dcterms:created xsi:type="dcterms:W3CDTF">2018-01-10T10:00:00Z</dcterms:created>
  <dcterms:modified xsi:type="dcterms:W3CDTF">2018-01-10T10:04:00Z</dcterms:modified>
</cp:coreProperties>
</file>