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79" w:type="dxa"/>
        <w:tblInd w:w="-725" w:type="dxa"/>
        <w:tblLayout w:type="fixed"/>
        <w:tblLook w:val="01E0" w:firstRow="1" w:lastRow="1" w:firstColumn="1" w:lastColumn="1" w:noHBand="0" w:noVBand="0"/>
      </w:tblPr>
      <w:tblGrid>
        <w:gridCol w:w="1980"/>
        <w:gridCol w:w="1080"/>
        <w:gridCol w:w="1080"/>
        <w:gridCol w:w="4425"/>
        <w:gridCol w:w="2239"/>
        <w:gridCol w:w="4775"/>
      </w:tblGrid>
      <w:tr w:rsidR="00B17891" w:rsidRPr="00F942CF" w:rsidTr="003874D4">
        <w:trPr>
          <w:trHeight w:val="195"/>
        </w:trPr>
        <w:tc>
          <w:tcPr>
            <w:tcW w:w="1980" w:type="dxa"/>
          </w:tcPr>
          <w:p w:rsidR="00B17891" w:rsidRPr="003874D4" w:rsidRDefault="00B17891" w:rsidP="0040381D">
            <w:pPr>
              <w:ind w:left="-82"/>
              <w:rPr>
                <w:rStyle w:val="normal--char"/>
                <w:rFonts w:asciiTheme="majorHAnsi" w:hAnsiTheme="majorHAnsi"/>
                <w:b/>
                <w:bCs/>
                <w:iCs/>
                <w:sz w:val="20"/>
                <w:szCs w:val="20"/>
                <w:lang w:val="ro-RO"/>
              </w:rPr>
            </w:pPr>
            <w:bookmarkStart w:id="0" w:name="_GoBack" w:colFirst="0" w:colLast="5"/>
            <w:r w:rsidRPr="003874D4">
              <w:rPr>
                <w:rStyle w:val="normal--char"/>
                <w:rFonts w:asciiTheme="majorHAnsi" w:hAnsiTheme="majorHAnsi"/>
                <w:b/>
                <w:bCs/>
                <w:iCs/>
                <w:sz w:val="20"/>
                <w:szCs w:val="20"/>
                <w:lang w:val="ro-RO"/>
              </w:rPr>
              <w:t>Baroul Partener-A c. Moldovei</w:t>
            </w:r>
          </w:p>
          <w:p w:rsidR="00B17891" w:rsidRPr="003874D4" w:rsidRDefault="00B17891" w:rsidP="0040381D">
            <w:pPr>
              <w:ind w:left="-82"/>
              <w:rPr>
                <w:rStyle w:val="normal--char"/>
                <w:rFonts w:asciiTheme="majorHAnsi" w:hAnsiTheme="majorHAnsi"/>
                <w:bCs/>
                <w:iCs/>
                <w:sz w:val="20"/>
                <w:szCs w:val="20"/>
                <w:lang w:val="ro-RO"/>
              </w:rPr>
            </w:pPr>
            <w:r w:rsidRPr="003874D4">
              <w:rPr>
                <w:rStyle w:val="normal--char"/>
                <w:rFonts w:asciiTheme="majorHAnsi" w:hAnsiTheme="majorHAnsi"/>
                <w:bCs/>
                <w:iCs/>
                <w:sz w:val="20"/>
                <w:szCs w:val="20"/>
                <w:lang w:val="ro-RO"/>
              </w:rPr>
              <w:t>(satisfacţia echitabilă)</w:t>
            </w:r>
          </w:p>
        </w:tc>
        <w:tc>
          <w:tcPr>
            <w:tcW w:w="1080" w:type="dxa"/>
          </w:tcPr>
          <w:p w:rsidR="00B17891" w:rsidRPr="003874D4" w:rsidRDefault="00B17891" w:rsidP="0040381D">
            <w:pPr>
              <w:ind w:left="-108" w:right="-108"/>
              <w:jc w:val="center"/>
              <w:rPr>
                <w:rFonts w:asciiTheme="majorHAnsi" w:hAnsiTheme="majorHAnsi"/>
                <w:sz w:val="20"/>
                <w:szCs w:val="20"/>
                <w:lang w:val="ro-RO"/>
              </w:rPr>
            </w:pPr>
            <w:r w:rsidRPr="003874D4">
              <w:rPr>
                <w:rFonts w:asciiTheme="majorHAnsi" w:hAnsiTheme="majorHAnsi"/>
                <w:sz w:val="20"/>
                <w:szCs w:val="20"/>
                <w:lang w:val="ro-RO"/>
              </w:rPr>
              <w:t>19.10.2010</w:t>
            </w:r>
          </w:p>
        </w:tc>
        <w:tc>
          <w:tcPr>
            <w:tcW w:w="1080" w:type="dxa"/>
          </w:tcPr>
          <w:p w:rsidR="00B17891" w:rsidRPr="003874D4" w:rsidRDefault="00B17891" w:rsidP="0040381D">
            <w:pPr>
              <w:ind w:left="-144" w:right="-108"/>
              <w:jc w:val="center"/>
              <w:rPr>
                <w:rFonts w:asciiTheme="majorHAnsi" w:hAnsiTheme="majorHAnsi"/>
                <w:i/>
                <w:sz w:val="20"/>
                <w:szCs w:val="20"/>
                <w:lang w:val="ro-RO"/>
              </w:rPr>
            </w:pPr>
            <w:r w:rsidRPr="003874D4">
              <w:rPr>
                <w:rFonts w:asciiTheme="majorHAnsi" w:hAnsiTheme="majorHAnsi"/>
                <w:i/>
                <w:sz w:val="20"/>
                <w:szCs w:val="20"/>
                <w:lang w:val="ro-RO"/>
              </w:rPr>
              <w:t>39815/07</w:t>
            </w:r>
          </w:p>
        </w:tc>
        <w:tc>
          <w:tcPr>
            <w:tcW w:w="4425" w:type="dxa"/>
          </w:tcPr>
          <w:p w:rsidR="00B17891" w:rsidRPr="003874D4" w:rsidRDefault="00B17891" w:rsidP="0040381D">
            <w:pPr>
              <w:jc w:val="both"/>
              <w:rPr>
                <w:rFonts w:asciiTheme="majorHAnsi" w:hAnsiTheme="majorHAnsi"/>
                <w:sz w:val="20"/>
                <w:szCs w:val="20"/>
                <w:lang w:val="ro-RO"/>
              </w:rPr>
            </w:pPr>
            <w:r w:rsidRPr="003874D4">
              <w:rPr>
                <w:rFonts w:asciiTheme="majorHAnsi" w:hAnsiTheme="majorHAnsi"/>
                <w:sz w:val="20"/>
                <w:szCs w:val="20"/>
                <w:lang w:val="ro-RO"/>
              </w:rPr>
              <w:t xml:space="preserve">prin hotărârea cu privire la fondul cauzei din 16.07.2009, CtEDO a constatat </w:t>
            </w:r>
            <w:r w:rsidRPr="003874D4">
              <w:rPr>
                <w:rFonts w:asciiTheme="majorHAnsi" w:hAnsiTheme="majorHAnsi"/>
                <w:sz w:val="20"/>
                <w:szCs w:val="20"/>
                <w:u w:val="single"/>
                <w:lang w:val="ro-RO"/>
              </w:rPr>
              <w:t xml:space="preserve">violarea art. 6 </w:t>
            </w:r>
            <w:r w:rsidRPr="003874D4">
              <w:rPr>
                <w:rFonts w:asciiTheme="majorHAnsi" w:hAnsiTheme="majorHAnsi"/>
                <w:bCs/>
                <w:sz w:val="20"/>
                <w:szCs w:val="20"/>
                <w:u w:val="single"/>
                <w:lang w:val="ro-RO"/>
              </w:rPr>
              <w:t>§ 1</w:t>
            </w:r>
            <w:r w:rsidRPr="003874D4">
              <w:rPr>
                <w:rFonts w:asciiTheme="majorHAnsi" w:hAnsiTheme="majorHAnsi"/>
                <w:sz w:val="20"/>
                <w:szCs w:val="20"/>
                <w:u w:val="single"/>
                <w:lang w:val="ro-RO"/>
              </w:rPr>
              <w:t xml:space="preserve"> al Convenţiei</w:t>
            </w:r>
            <w:r w:rsidRPr="003874D4">
              <w:rPr>
                <w:rFonts w:asciiTheme="majorHAnsi" w:hAnsiTheme="majorHAnsi"/>
                <w:sz w:val="20"/>
                <w:szCs w:val="20"/>
                <w:lang w:val="ro-RO"/>
              </w:rPr>
              <w:t xml:space="preserve"> </w:t>
            </w:r>
            <w:r w:rsidRPr="003874D4">
              <w:rPr>
                <w:rFonts w:asciiTheme="majorHAnsi" w:hAnsiTheme="majorHAnsi"/>
                <w:bCs/>
                <w:sz w:val="20"/>
                <w:szCs w:val="20"/>
                <w:lang w:val="ro-RO"/>
              </w:rPr>
              <w:t>(</w:t>
            </w:r>
            <w:r w:rsidRPr="003874D4">
              <w:rPr>
                <w:rFonts w:asciiTheme="majorHAnsi" w:hAnsiTheme="majorHAnsi"/>
                <w:sz w:val="20"/>
                <w:szCs w:val="20"/>
                <w:lang w:val="ro-RO"/>
              </w:rPr>
              <w:t>securitatea raporturilor juridice</w:t>
            </w:r>
            <w:r w:rsidRPr="003874D4">
              <w:rPr>
                <w:rFonts w:asciiTheme="majorHAnsi" w:hAnsiTheme="majorHAnsi"/>
                <w:bCs/>
                <w:sz w:val="20"/>
                <w:szCs w:val="20"/>
                <w:lang w:val="ro-RO"/>
              </w:rPr>
              <w:t xml:space="preserve">) – împuternicirea autorităţilor de stat să pretindă restituirea proprietăţii de stat fără limită în timp; </w:t>
            </w:r>
            <w:r w:rsidRPr="003874D4">
              <w:rPr>
                <w:rFonts w:asciiTheme="majorHAnsi" w:hAnsiTheme="majorHAnsi"/>
                <w:sz w:val="20"/>
                <w:szCs w:val="20"/>
                <w:u w:val="single"/>
                <w:lang w:val="ro-RO"/>
              </w:rPr>
              <w:t>violarea art. 1 Protocolul nr. 1 la Convenţie</w:t>
            </w:r>
            <w:r w:rsidRPr="003874D4">
              <w:rPr>
                <w:rFonts w:asciiTheme="majorHAnsi" w:hAnsiTheme="majorHAnsi"/>
                <w:sz w:val="20"/>
                <w:szCs w:val="20"/>
                <w:lang w:val="ro-RO"/>
              </w:rPr>
              <w:t xml:space="preserve"> (protecţia proprietăţii) – lipsirea de proprietate în urma anulării privatizării din motive neimputabile reclamantului.</w:t>
            </w:r>
          </w:p>
        </w:tc>
        <w:tc>
          <w:tcPr>
            <w:tcW w:w="2239" w:type="dxa"/>
          </w:tcPr>
          <w:p w:rsidR="00B17891" w:rsidRPr="003874D4" w:rsidRDefault="00B17891" w:rsidP="0040381D">
            <w:pPr>
              <w:rPr>
                <w:rFonts w:asciiTheme="majorHAnsi" w:hAnsiTheme="majorHAnsi"/>
                <w:sz w:val="20"/>
                <w:szCs w:val="20"/>
                <w:lang w:val="ro-RO"/>
              </w:rPr>
            </w:pPr>
            <w:r w:rsidRPr="003874D4">
              <w:rPr>
                <w:rFonts w:asciiTheme="majorHAnsi" w:hAnsiTheme="majorHAnsi"/>
                <w:sz w:val="20"/>
                <w:szCs w:val="20"/>
                <w:lang w:val="ro-RO"/>
              </w:rPr>
              <w:t>Total prejudicii - € 320,000</w:t>
            </w:r>
          </w:p>
          <w:p w:rsidR="00B17891" w:rsidRPr="003874D4" w:rsidRDefault="00B17891" w:rsidP="0040381D">
            <w:pPr>
              <w:rPr>
                <w:rFonts w:asciiTheme="majorHAnsi" w:hAnsiTheme="majorHAnsi"/>
                <w:sz w:val="20"/>
                <w:szCs w:val="20"/>
                <w:lang w:val="ro-RO"/>
              </w:rPr>
            </w:pPr>
            <w:r w:rsidRPr="003874D4">
              <w:rPr>
                <w:rFonts w:asciiTheme="majorHAnsi" w:hAnsiTheme="majorHAnsi"/>
                <w:sz w:val="20"/>
                <w:szCs w:val="20"/>
                <w:lang w:val="ro-RO"/>
              </w:rPr>
              <w:t>Cost/Chelt. - € 8,000</w:t>
            </w:r>
          </w:p>
        </w:tc>
        <w:tc>
          <w:tcPr>
            <w:tcW w:w="4775" w:type="dxa"/>
          </w:tcPr>
          <w:p w:rsidR="00B17891" w:rsidRPr="003874D4" w:rsidRDefault="00B17891" w:rsidP="00B17891">
            <w:pPr>
              <w:pStyle w:val="NormalWeb"/>
              <w:numPr>
                <w:ilvl w:val="0"/>
                <w:numId w:val="1"/>
              </w:numPr>
              <w:tabs>
                <w:tab w:val="clear" w:pos="766"/>
                <w:tab w:val="num" w:pos="406"/>
              </w:tabs>
              <w:spacing w:before="0" w:beforeAutospacing="0" w:after="0" w:afterAutospacing="0"/>
              <w:ind w:left="46" w:firstLine="0"/>
              <w:jc w:val="both"/>
              <w:rPr>
                <w:rFonts w:asciiTheme="majorHAnsi" w:hAnsiTheme="majorHAnsi"/>
                <w:noProof/>
                <w:sz w:val="20"/>
                <w:szCs w:val="20"/>
                <w:lang w:val="ro-RO"/>
              </w:rPr>
            </w:pPr>
            <w:r w:rsidRPr="003874D4">
              <w:rPr>
                <w:rFonts w:asciiTheme="majorHAnsi" w:hAnsiTheme="majorHAnsi"/>
                <w:noProof/>
                <w:sz w:val="20"/>
                <w:szCs w:val="20"/>
                <w:lang w:val="ro-RO"/>
              </w:rPr>
              <w:t>a solicitat anularea privatizării – A. Stoianoglo, Adjunctul Procurorului General;</w:t>
            </w:r>
          </w:p>
          <w:p w:rsidR="00B17891" w:rsidRPr="003874D4" w:rsidRDefault="00B17891" w:rsidP="00B17891">
            <w:pPr>
              <w:pStyle w:val="NormalWeb"/>
              <w:numPr>
                <w:ilvl w:val="0"/>
                <w:numId w:val="1"/>
              </w:numPr>
              <w:tabs>
                <w:tab w:val="clear" w:pos="766"/>
                <w:tab w:val="num" w:pos="406"/>
              </w:tabs>
              <w:spacing w:before="0" w:beforeAutospacing="0" w:after="0" w:afterAutospacing="0"/>
              <w:ind w:left="46" w:firstLine="0"/>
              <w:jc w:val="both"/>
              <w:rPr>
                <w:rFonts w:asciiTheme="majorHAnsi" w:hAnsiTheme="majorHAnsi"/>
                <w:noProof/>
                <w:sz w:val="20"/>
                <w:szCs w:val="20"/>
                <w:lang w:val="ro-RO"/>
              </w:rPr>
            </w:pPr>
            <w:r w:rsidRPr="003874D4">
              <w:rPr>
                <w:rFonts w:asciiTheme="majorHAnsi" w:hAnsiTheme="majorHAnsi"/>
                <w:noProof/>
                <w:sz w:val="20"/>
                <w:szCs w:val="20"/>
                <w:lang w:val="ro-RO"/>
              </w:rPr>
              <w:t xml:space="preserve">a admis cererea de chemare în judecată – </w:t>
            </w:r>
            <w:r w:rsidRPr="003874D4">
              <w:rPr>
                <w:rFonts w:asciiTheme="majorHAnsi" w:hAnsiTheme="majorHAnsi"/>
                <w:noProof/>
                <w:sz w:val="20"/>
                <w:szCs w:val="20"/>
                <w:highlight w:val="yellow"/>
                <w:lang w:val="ro-RO"/>
              </w:rPr>
              <w:t xml:space="preserve">E. </w:t>
            </w:r>
            <w:r w:rsidR="002D7E91" w:rsidRPr="003874D4">
              <w:rPr>
                <w:rFonts w:asciiTheme="majorHAnsi" w:hAnsiTheme="majorHAnsi"/>
                <w:noProof/>
                <w:sz w:val="20"/>
                <w:szCs w:val="20"/>
                <w:highlight w:val="yellow"/>
                <w:lang w:val="ro-RO"/>
              </w:rPr>
              <w:t>CLIM</w:t>
            </w:r>
            <w:r w:rsidRPr="003874D4">
              <w:rPr>
                <w:rFonts w:asciiTheme="majorHAnsi" w:hAnsiTheme="majorHAnsi"/>
                <w:noProof/>
                <w:sz w:val="20"/>
                <w:szCs w:val="20"/>
                <w:highlight w:val="yellow"/>
                <w:lang w:val="ro-RO"/>
              </w:rPr>
              <w:t>,</w:t>
            </w:r>
            <w:r w:rsidRPr="003874D4">
              <w:rPr>
                <w:rFonts w:asciiTheme="majorHAnsi" w:hAnsiTheme="majorHAnsi"/>
                <w:noProof/>
                <w:sz w:val="20"/>
                <w:szCs w:val="20"/>
                <w:lang w:val="ro-RO"/>
              </w:rPr>
              <w:t xml:space="preserve"> judecător, Curtea de Apel Economică;</w:t>
            </w:r>
          </w:p>
          <w:p w:rsidR="00B17891" w:rsidRPr="003874D4" w:rsidRDefault="00B17891" w:rsidP="00B17891">
            <w:pPr>
              <w:pStyle w:val="NormalWeb"/>
              <w:numPr>
                <w:ilvl w:val="0"/>
                <w:numId w:val="1"/>
              </w:numPr>
              <w:tabs>
                <w:tab w:val="clear" w:pos="766"/>
                <w:tab w:val="num" w:pos="406"/>
              </w:tabs>
              <w:spacing w:before="0" w:beforeAutospacing="0" w:after="0" w:afterAutospacing="0"/>
              <w:ind w:left="46" w:firstLine="0"/>
              <w:jc w:val="both"/>
              <w:rPr>
                <w:rFonts w:asciiTheme="majorHAnsi" w:hAnsiTheme="majorHAnsi"/>
                <w:noProof/>
                <w:sz w:val="20"/>
                <w:szCs w:val="20"/>
                <w:lang w:val="ro-RO"/>
              </w:rPr>
            </w:pPr>
            <w:r w:rsidRPr="003874D4">
              <w:rPr>
                <w:rFonts w:asciiTheme="majorHAnsi" w:hAnsiTheme="majorHAnsi"/>
                <w:noProof/>
                <w:sz w:val="20"/>
                <w:szCs w:val="20"/>
                <w:lang w:val="ro-RO"/>
              </w:rPr>
              <w:t>au menţinut hotărârea primei instanţe – N. Moldovanu, I. Vîlcov, V. Ignat, vicepreşedinte şi, respectiv, judecători, Curtea Supremă de Justiţie</w:t>
            </w:r>
          </w:p>
        </w:tc>
      </w:tr>
      <w:tr w:rsidR="00B17891" w:rsidRPr="00A013C0" w:rsidTr="003874D4">
        <w:tblPrEx>
          <w:tblLook w:val="04A0" w:firstRow="1" w:lastRow="0" w:firstColumn="1" w:lastColumn="0" w:noHBand="0" w:noVBand="1"/>
        </w:tblPrEx>
        <w:tc>
          <w:tcPr>
            <w:tcW w:w="1980" w:type="dxa"/>
          </w:tcPr>
          <w:p w:rsidR="00B17891" w:rsidRPr="003874D4" w:rsidRDefault="00B17891" w:rsidP="0040381D">
            <w:pPr>
              <w:ind w:left="-82"/>
              <w:rPr>
                <w:rStyle w:val="normal--char"/>
                <w:rFonts w:asciiTheme="majorHAnsi" w:hAnsiTheme="majorHAnsi"/>
                <w:b/>
                <w:bCs/>
                <w:iCs/>
                <w:color w:val="000000"/>
                <w:sz w:val="20"/>
                <w:szCs w:val="20"/>
                <w:lang w:val="ro-RO"/>
              </w:rPr>
            </w:pPr>
            <w:r w:rsidRPr="003874D4">
              <w:rPr>
                <w:rFonts w:asciiTheme="majorHAnsi" w:hAnsiTheme="majorHAnsi"/>
                <w:b/>
                <w:color w:val="000000"/>
                <w:sz w:val="20"/>
                <w:szCs w:val="20"/>
                <w:lang w:val="ro-RO"/>
              </w:rPr>
              <w:t>BAROUL PARTNER-A c. Moldovei</w:t>
            </w:r>
          </w:p>
        </w:tc>
        <w:tc>
          <w:tcPr>
            <w:tcW w:w="1080" w:type="dxa"/>
          </w:tcPr>
          <w:p w:rsidR="00B17891" w:rsidRPr="003874D4" w:rsidRDefault="00B17891" w:rsidP="0040381D">
            <w:pPr>
              <w:ind w:left="-108" w:right="-108"/>
              <w:jc w:val="center"/>
              <w:rPr>
                <w:rFonts w:asciiTheme="majorHAnsi" w:hAnsiTheme="majorHAnsi"/>
                <w:color w:val="000000"/>
                <w:sz w:val="20"/>
                <w:szCs w:val="20"/>
                <w:lang w:val="ro-RO"/>
              </w:rPr>
            </w:pPr>
            <w:r w:rsidRPr="003874D4">
              <w:rPr>
                <w:rFonts w:asciiTheme="majorHAnsi" w:hAnsiTheme="majorHAnsi"/>
                <w:color w:val="000000"/>
                <w:sz w:val="20"/>
                <w:szCs w:val="20"/>
                <w:lang w:val="ro-RO"/>
              </w:rPr>
              <w:t>16.07.2009</w:t>
            </w:r>
          </w:p>
        </w:tc>
        <w:tc>
          <w:tcPr>
            <w:tcW w:w="1080" w:type="dxa"/>
          </w:tcPr>
          <w:p w:rsidR="00B17891" w:rsidRPr="003874D4" w:rsidRDefault="00B17891" w:rsidP="0040381D">
            <w:pPr>
              <w:ind w:left="-144" w:right="-108"/>
              <w:jc w:val="center"/>
              <w:rPr>
                <w:rFonts w:asciiTheme="majorHAnsi" w:hAnsiTheme="majorHAnsi"/>
                <w:i/>
                <w:color w:val="000000"/>
                <w:sz w:val="20"/>
                <w:szCs w:val="20"/>
                <w:lang w:val="ro-RO"/>
              </w:rPr>
            </w:pPr>
            <w:r w:rsidRPr="003874D4">
              <w:rPr>
                <w:rFonts w:asciiTheme="majorHAnsi" w:hAnsiTheme="majorHAnsi"/>
                <w:i/>
                <w:iCs/>
                <w:sz w:val="20"/>
                <w:szCs w:val="20"/>
              </w:rPr>
              <w:t>39815/07</w:t>
            </w:r>
          </w:p>
        </w:tc>
        <w:tc>
          <w:tcPr>
            <w:tcW w:w="4425" w:type="dxa"/>
          </w:tcPr>
          <w:p w:rsidR="00B17891" w:rsidRPr="003874D4" w:rsidRDefault="00B17891" w:rsidP="0040381D">
            <w:pPr>
              <w:jc w:val="both"/>
              <w:rPr>
                <w:rFonts w:asciiTheme="majorHAnsi" w:hAnsiTheme="majorHAnsi"/>
                <w:sz w:val="20"/>
                <w:szCs w:val="20"/>
                <w:lang w:val="ro-RO"/>
              </w:rPr>
            </w:pPr>
            <w:r w:rsidRPr="003874D4">
              <w:rPr>
                <w:rFonts w:asciiTheme="majorHAnsi" w:hAnsiTheme="majorHAnsi"/>
                <w:color w:val="000000"/>
                <w:sz w:val="20"/>
                <w:szCs w:val="20"/>
                <w:u w:val="single"/>
                <w:lang w:val="ro-RO"/>
              </w:rPr>
              <w:t xml:space="preserve">violarea art. 6 </w:t>
            </w:r>
            <w:r w:rsidRPr="003874D4">
              <w:rPr>
                <w:rFonts w:asciiTheme="majorHAnsi" w:hAnsiTheme="majorHAnsi"/>
                <w:bCs/>
                <w:color w:val="000000"/>
                <w:sz w:val="20"/>
                <w:szCs w:val="20"/>
                <w:u w:val="single"/>
                <w:lang w:val="ro-RO"/>
              </w:rPr>
              <w:t>§ 1</w:t>
            </w:r>
            <w:r w:rsidRPr="003874D4">
              <w:rPr>
                <w:rFonts w:asciiTheme="majorHAnsi" w:hAnsiTheme="majorHAnsi"/>
                <w:color w:val="000000"/>
                <w:sz w:val="20"/>
                <w:szCs w:val="20"/>
                <w:u w:val="single"/>
                <w:lang w:val="ro-RO"/>
              </w:rPr>
              <w:t xml:space="preserve"> al Convenţiei</w:t>
            </w:r>
            <w:r w:rsidRPr="003874D4">
              <w:rPr>
                <w:rFonts w:asciiTheme="majorHAnsi" w:hAnsiTheme="majorHAnsi"/>
                <w:color w:val="000000"/>
                <w:sz w:val="20"/>
                <w:szCs w:val="20"/>
                <w:lang w:val="ro-RO"/>
              </w:rPr>
              <w:t xml:space="preserve"> </w:t>
            </w:r>
            <w:r w:rsidRPr="003874D4">
              <w:rPr>
                <w:rFonts w:asciiTheme="majorHAnsi" w:hAnsiTheme="majorHAnsi"/>
                <w:bCs/>
                <w:color w:val="000000"/>
                <w:sz w:val="20"/>
                <w:szCs w:val="20"/>
                <w:lang w:val="ro-RO"/>
              </w:rPr>
              <w:t>(</w:t>
            </w:r>
            <w:r w:rsidRPr="003874D4">
              <w:rPr>
                <w:rFonts w:asciiTheme="majorHAnsi" w:hAnsiTheme="majorHAnsi"/>
                <w:color w:val="000000"/>
                <w:sz w:val="20"/>
                <w:szCs w:val="20"/>
                <w:lang w:val="ro-RO"/>
              </w:rPr>
              <w:t>securitatea raporturilor juridice</w:t>
            </w:r>
            <w:r w:rsidRPr="003874D4">
              <w:rPr>
                <w:rFonts w:asciiTheme="majorHAnsi" w:hAnsiTheme="majorHAnsi"/>
                <w:bCs/>
                <w:color w:val="000000"/>
                <w:sz w:val="20"/>
                <w:szCs w:val="20"/>
                <w:lang w:val="ro-RO"/>
              </w:rPr>
              <w:t xml:space="preserve">) – împuternicirea autorităţilor de stat să pretindă restituirea proprietăţii de stat fără limită în timp; </w:t>
            </w:r>
            <w:r w:rsidRPr="003874D4">
              <w:rPr>
                <w:rFonts w:asciiTheme="majorHAnsi" w:hAnsiTheme="majorHAnsi"/>
                <w:color w:val="000000"/>
                <w:sz w:val="20"/>
                <w:szCs w:val="20"/>
                <w:u w:val="single"/>
                <w:lang w:val="ro-RO"/>
              </w:rPr>
              <w:t>violarea art. 1 Protocolul nr. 1 la Convenţie</w:t>
            </w:r>
            <w:r w:rsidRPr="003874D4">
              <w:rPr>
                <w:rFonts w:asciiTheme="majorHAnsi" w:hAnsiTheme="majorHAnsi"/>
                <w:color w:val="000000"/>
                <w:sz w:val="20"/>
                <w:szCs w:val="20"/>
                <w:lang w:val="ro-RO"/>
              </w:rPr>
              <w:t xml:space="preserve"> (protecţia proprietăţii) – </w:t>
            </w:r>
            <w:r w:rsidRPr="003874D4">
              <w:rPr>
                <w:rFonts w:asciiTheme="majorHAnsi" w:hAnsiTheme="majorHAnsi"/>
                <w:sz w:val="20"/>
                <w:szCs w:val="20"/>
                <w:lang w:val="ro-RO"/>
              </w:rPr>
              <w:t>lipsirea de proprietate în urma anulării privatizării din motive neimputabile reclamantului.</w:t>
            </w:r>
          </w:p>
        </w:tc>
        <w:tc>
          <w:tcPr>
            <w:tcW w:w="2239" w:type="dxa"/>
          </w:tcPr>
          <w:p w:rsidR="00B17891" w:rsidRPr="003874D4" w:rsidRDefault="00B17891" w:rsidP="0040381D">
            <w:pPr>
              <w:ind w:right="-108"/>
              <w:rPr>
                <w:rFonts w:asciiTheme="majorHAnsi" w:hAnsiTheme="majorHAnsi"/>
                <w:color w:val="000000"/>
                <w:sz w:val="20"/>
                <w:szCs w:val="20"/>
                <w:lang w:val="ro-RO"/>
              </w:rPr>
            </w:pPr>
            <w:r w:rsidRPr="003874D4">
              <w:rPr>
                <w:rFonts w:asciiTheme="majorHAnsi" w:hAnsiTheme="majorHAnsi"/>
                <w:color w:val="000000"/>
                <w:sz w:val="20"/>
                <w:szCs w:val="20"/>
                <w:lang w:val="ro-RO"/>
              </w:rPr>
              <w:t>Prejud. – rezervate pentru o hotărâre separată</w:t>
            </w:r>
          </w:p>
          <w:p w:rsidR="00B17891" w:rsidRPr="003874D4" w:rsidRDefault="00B17891" w:rsidP="0040381D">
            <w:pPr>
              <w:rPr>
                <w:rFonts w:asciiTheme="majorHAnsi" w:hAnsiTheme="majorHAnsi"/>
                <w:color w:val="000000"/>
                <w:sz w:val="20"/>
                <w:szCs w:val="20"/>
                <w:lang w:val="ro-RO"/>
              </w:rPr>
            </w:pPr>
          </w:p>
        </w:tc>
        <w:tc>
          <w:tcPr>
            <w:tcW w:w="4775" w:type="dxa"/>
          </w:tcPr>
          <w:p w:rsidR="00B17891" w:rsidRPr="003874D4" w:rsidRDefault="00B17891" w:rsidP="00B17891">
            <w:pPr>
              <w:pStyle w:val="NormalWeb"/>
              <w:numPr>
                <w:ilvl w:val="0"/>
                <w:numId w:val="2"/>
              </w:numPr>
              <w:tabs>
                <w:tab w:val="clear" w:pos="720"/>
                <w:tab w:val="num" w:pos="0"/>
              </w:tabs>
              <w:spacing w:before="0" w:beforeAutospacing="0" w:after="0" w:afterAutospacing="0"/>
              <w:ind w:left="406"/>
              <w:jc w:val="both"/>
              <w:rPr>
                <w:rFonts w:asciiTheme="majorHAnsi" w:hAnsiTheme="majorHAnsi"/>
                <w:noProof/>
                <w:color w:val="000000"/>
                <w:sz w:val="20"/>
                <w:szCs w:val="20"/>
                <w:lang w:val="ro-RO"/>
              </w:rPr>
            </w:pPr>
            <w:r w:rsidRPr="003874D4">
              <w:rPr>
                <w:rFonts w:asciiTheme="majorHAnsi" w:hAnsiTheme="majorHAnsi"/>
                <w:noProof/>
                <w:color w:val="000000"/>
                <w:sz w:val="20"/>
                <w:szCs w:val="20"/>
                <w:lang w:val="ro-RO"/>
              </w:rPr>
              <w:t>a solicitat anularea privatizării – A. Stoianoglo, Adjunctul Procurorului General;</w:t>
            </w:r>
          </w:p>
          <w:p w:rsidR="00B17891" w:rsidRPr="003874D4" w:rsidRDefault="00B17891" w:rsidP="00B17891">
            <w:pPr>
              <w:pStyle w:val="NormalWeb"/>
              <w:numPr>
                <w:ilvl w:val="0"/>
                <w:numId w:val="2"/>
              </w:numPr>
              <w:tabs>
                <w:tab w:val="clear" w:pos="720"/>
                <w:tab w:val="num" w:pos="0"/>
              </w:tabs>
              <w:spacing w:before="0" w:beforeAutospacing="0" w:after="0" w:afterAutospacing="0"/>
              <w:ind w:left="406"/>
              <w:jc w:val="both"/>
              <w:rPr>
                <w:rFonts w:asciiTheme="majorHAnsi" w:hAnsiTheme="majorHAnsi"/>
                <w:noProof/>
                <w:color w:val="000000"/>
                <w:sz w:val="20"/>
                <w:szCs w:val="20"/>
                <w:lang w:val="ro-RO"/>
              </w:rPr>
            </w:pPr>
            <w:r w:rsidRPr="003874D4">
              <w:rPr>
                <w:rFonts w:asciiTheme="majorHAnsi" w:hAnsiTheme="majorHAnsi"/>
                <w:noProof/>
                <w:color w:val="000000"/>
                <w:sz w:val="20"/>
                <w:szCs w:val="20"/>
                <w:lang w:val="ro-RO"/>
              </w:rPr>
              <w:t xml:space="preserve">a admis cererea de chemare în judecată – </w:t>
            </w:r>
            <w:r w:rsidRPr="003874D4">
              <w:rPr>
                <w:rFonts w:asciiTheme="majorHAnsi" w:hAnsiTheme="majorHAnsi"/>
                <w:noProof/>
                <w:color w:val="000000"/>
                <w:sz w:val="20"/>
                <w:szCs w:val="20"/>
                <w:highlight w:val="yellow"/>
                <w:lang w:val="ro-RO"/>
              </w:rPr>
              <w:t xml:space="preserve">E. </w:t>
            </w:r>
            <w:r w:rsidR="002D7E91" w:rsidRPr="003874D4">
              <w:rPr>
                <w:rFonts w:asciiTheme="majorHAnsi" w:hAnsiTheme="majorHAnsi"/>
                <w:noProof/>
                <w:color w:val="000000"/>
                <w:sz w:val="20"/>
                <w:szCs w:val="20"/>
                <w:highlight w:val="yellow"/>
                <w:lang w:val="ro-RO"/>
              </w:rPr>
              <w:t>CLIM</w:t>
            </w:r>
            <w:r w:rsidRPr="003874D4">
              <w:rPr>
                <w:rFonts w:asciiTheme="majorHAnsi" w:hAnsiTheme="majorHAnsi"/>
                <w:noProof/>
                <w:color w:val="000000"/>
                <w:sz w:val="20"/>
                <w:szCs w:val="20"/>
                <w:lang w:val="ro-RO"/>
              </w:rPr>
              <w:t>, judecător, Curtea de Apel Economică;</w:t>
            </w:r>
          </w:p>
          <w:p w:rsidR="00B17891" w:rsidRPr="003874D4" w:rsidRDefault="00B17891" w:rsidP="00B17891">
            <w:pPr>
              <w:pStyle w:val="NormalWeb"/>
              <w:numPr>
                <w:ilvl w:val="0"/>
                <w:numId w:val="2"/>
              </w:numPr>
              <w:tabs>
                <w:tab w:val="clear" w:pos="720"/>
                <w:tab w:val="num" w:pos="0"/>
              </w:tabs>
              <w:spacing w:before="0" w:beforeAutospacing="0" w:after="0" w:afterAutospacing="0"/>
              <w:ind w:left="406"/>
              <w:jc w:val="both"/>
              <w:rPr>
                <w:rFonts w:asciiTheme="majorHAnsi" w:hAnsiTheme="majorHAnsi"/>
                <w:noProof/>
                <w:color w:val="000000"/>
                <w:sz w:val="20"/>
                <w:szCs w:val="20"/>
                <w:lang w:val="ro-RO"/>
              </w:rPr>
            </w:pPr>
            <w:r w:rsidRPr="003874D4">
              <w:rPr>
                <w:rFonts w:asciiTheme="majorHAnsi" w:hAnsiTheme="majorHAnsi"/>
                <w:noProof/>
                <w:color w:val="000000"/>
                <w:sz w:val="20"/>
                <w:szCs w:val="20"/>
                <w:lang w:val="ro-RO"/>
              </w:rPr>
              <w:t>au menţinut hotărârea primei instanţe – N. Moldovanu, I. Vîlcov, V. Ignat, vicepreşedinte şi, respectiv, judecători, Curtea Supremă de Justiţie</w:t>
            </w:r>
          </w:p>
        </w:tc>
      </w:tr>
      <w:tr w:rsidR="003874D4" w:rsidRPr="00A013C0" w:rsidTr="003874D4">
        <w:tblPrEx>
          <w:tblLook w:val="04A0" w:firstRow="1" w:lastRow="0" w:firstColumn="1" w:lastColumn="0" w:noHBand="0" w:noVBand="1"/>
        </w:tblPrEx>
        <w:tc>
          <w:tcPr>
            <w:tcW w:w="1980" w:type="dxa"/>
          </w:tcPr>
          <w:p w:rsidR="003874D4" w:rsidRPr="003874D4" w:rsidRDefault="003874D4" w:rsidP="003874D4">
            <w:pPr>
              <w:pStyle w:val="1"/>
              <w:spacing w:line="189" w:lineRule="exact"/>
              <w:jc w:val="left"/>
              <w:rPr>
                <w:rStyle w:val="85pt"/>
                <w:rFonts w:asciiTheme="majorHAnsi" w:eastAsia="Calibri" w:hAnsiTheme="majorHAnsi"/>
                <w:sz w:val="20"/>
                <w:szCs w:val="20"/>
                <w:lang w:val="ro-RO"/>
              </w:rPr>
            </w:pPr>
            <w:hyperlink r:id="rId5" w:history="1">
              <w:r w:rsidRPr="003874D4">
                <w:rPr>
                  <w:rStyle w:val="Hyperlink"/>
                  <w:rFonts w:asciiTheme="majorHAnsi" w:hAnsiTheme="majorHAnsi"/>
                  <w:sz w:val="20"/>
                  <w:szCs w:val="20"/>
                  <w:lang w:val="ro-RO"/>
                </w:rPr>
                <w:t>Nic</w:t>
              </w:r>
              <w:r w:rsidRPr="003874D4">
                <w:rPr>
                  <w:rStyle w:val="Hyperlink"/>
                  <w:rFonts w:asciiTheme="majorHAnsi" w:hAnsiTheme="majorHAnsi"/>
                  <w:sz w:val="20"/>
                  <w:szCs w:val="20"/>
                  <w:lang w:val="ro-RO"/>
                </w:rPr>
                <w:t>h</w:t>
              </w:r>
              <w:r w:rsidRPr="003874D4">
                <w:rPr>
                  <w:rStyle w:val="Hyperlink"/>
                  <w:rFonts w:asciiTheme="majorHAnsi" w:hAnsiTheme="majorHAnsi"/>
                  <w:sz w:val="20"/>
                  <w:szCs w:val="20"/>
                  <w:lang w:val="ro-RO"/>
                </w:rPr>
                <w:t>ifor</w:t>
              </w:r>
            </w:hyperlink>
            <w:r w:rsidRPr="003874D4">
              <w:rPr>
                <w:rStyle w:val="85pt"/>
                <w:rFonts w:asciiTheme="majorHAnsi" w:eastAsia="Calibri" w:hAnsiTheme="majorHAnsi"/>
                <w:sz w:val="20"/>
                <w:szCs w:val="20"/>
                <w:lang w:val="ro-RO"/>
              </w:rPr>
              <w:t xml:space="preserve"> c. Moldovei</w:t>
            </w:r>
          </w:p>
          <w:p w:rsidR="003874D4" w:rsidRPr="003874D4" w:rsidRDefault="003874D4" w:rsidP="003874D4">
            <w:pPr>
              <w:pStyle w:val="1"/>
              <w:spacing w:line="189" w:lineRule="exact"/>
              <w:jc w:val="left"/>
              <w:rPr>
                <w:rStyle w:val="85pt"/>
                <w:rFonts w:asciiTheme="majorHAnsi" w:eastAsia="Calibri" w:hAnsiTheme="majorHAnsi"/>
                <w:sz w:val="20"/>
                <w:szCs w:val="20"/>
                <w:lang w:val="ro-RO"/>
              </w:rPr>
            </w:pPr>
          </w:p>
        </w:tc>
        <w:tc>
          <w:tcPr>
            <w:tcW w:w="1080" w:type="dxa"/>
          </w:tcPr>
          <w:p w:rsidR="003874D4" w:rsidRPr="003874D4" w:rsidRDefault="003874D4" w:rsidP="003874D4">
            <w:pPr>
              <w:ind w:left="-108" w:right="-108"/>
              <w:jc w:val="center"/>
              <w:rPr>
                <w:rStyle w:val="85pt"/>
                <w:rFonts w:asciiTheme="majorHAnsi" w:hAnsiTheme="majorHAnsi"/>
                <w:b w:val="0"/>
                <w:sz w:val="20"/>
                <w:szCs w:val="20"/>
                <w:lang w:val="ro-RO"/>
              </w:rPr>
            </w:pPr>
            <w:r w:rsidRPr="003874D4">
              <w:rPr>
                <w:rStyle w:val="85pt"/>
                <w:rFonts w:asciiTheme="majorHAnsi" w:hAnsiTheme="majorHAnsi"/>
                <w:b w:val="0"/>
                <w:sz w:val="20"/>
                <w:szCs w:val="20"/>
                <w:lang w:val="ro-RO"/>
              </w:rPr>
              <w:t>20/09/2016</w:t>
            </w:r>
          </w:p>
        </w:tc>
        <w:tc>
          <w:tcPr>
            <w:tcW w:w="1080" w:type="dxa"/>
          </w:tcPr>
          <w:p w:rsidR="003874D4" w:rsidRPr="003874D4" w:rsidRDefault="003874D4" w:rsidP="003874D4">
            <w:pPr>
              <w:ind w:left="-12"/>
              <w:jc w:val="center"/>
              <w:rPr>
                <w:rStyle w:val="85pt0"/>
                <w:rFonts w:asciiTheme="majorHAnsi" w:hAnsiTheme="majorHAnsi"/>
                <w:b w:val="0"/>
                <w:i w:val="0"/>
                <w:sz w:val="20"/>
                <w:szCs w:val="20"/>
                <w:lang w:val="ro-RO"/>
              </w:rPr>
            </w:pPr>
            <w:hyperlink r:id="rId6" w:anchor="{&quot;fulltext&quot;:[&quot;52205/10&quot;],&quot;documentcollectionid2&quot;:[&quot;JUDGMENTS&quot;,&quot;DECISIONS&quot;,&quot;COMMUNICATEDCASES&quot;]}" w:history="1">
              <w:r w:rsidRPr="003874D4">
                <w:rPr>
                  <w:rStyle w:val="Hyperlink"/>
                  <w:rFonts w:asciiTheme="majorHAnsi" w:hAnsiTheme="majorHAnsi"/>
                  <w:sz w:val="20"/>
                  <w:szCs w:val="20"/>
                  <w:lang w:val="ro-RO"/>
                </w:rPr>
                <w:t>52205/10</w:t>
              </w:r>
            </w:hyperlink>
          </w:p>
        </w:tc>
        <w:tc>
          <w:tcPr>
            <w:tcW w:w="4425" w:type="dxa"/>
          </w:tcPr>
          <w:p w:rsidR="003874D4" w:rsidRPr="003874D4" w:rsidRDefault="003874D4" w:rsidP="003874D4">
            <w:pPr>
              <w:jc w:val="both"/>
              <w:rPr>
                <w:rFonts w:asciiTheme="majorHAnsi" w:hAnsiTheme="majorHAnsi"/>
                <w:sz w:val="20"/>
                <w:szCs w:val="20"/>
                <w:highlight w:val="yellow"/>
                <w:lang w:val="ro-RO"/>
              </w:rPr>
            </w:pPr>
            <w:r w:rsidRPr="003874D4">
              <w:rPr>
                <w:rStyle w:val="85pt"/>
                <w:rFonts w:asciiTheme="majorHAnsi" w:hAnsiTheme="majorHAnsi"/>
                <w:b w:val="0"/>
                <w:sz w:val="20"/>
                <w:szCs w:val="20"/>
                <w:u w:val="single"/>
                <w:lang w:val="ro-RO"/>
              </w:rPr>
              <w:t xml:space="preserve">violarea art. 6 </w:t>
            </w:r>
            <w:r w:rsidRPr="003874D4">
              <w:rPr>
                <w:rFonts w:asciiTheme="majorHAnsi" w:hAnsiTheme="majorHAnsi"/>
                <w:sz w:val="20"/>
                <w:szCs w:val="20"/>
                <w:u w:val="single"/>
                <w:lang w:val="ro-RO"/>
              </w:rPr>
              <w:t xml:space="preserve">§ 1 </w:t>
            </w:r>
            <w:r w:rsidRPr="003874D4">
              <w:rPr>
                <w:rStyle w:val="85pt"/>
                <w:rFonts w:asciiTheme="majorHAnsi" w:hAnsiTheme="majorHAnsi"/>
                <w:b w:val="0"/>
                <w:sz w:val="20"/>
                <w:szCs w:val="20"/>
                <w:u w:val="single"/>
                <w:lang w:val="ro-RO"/>
              </w:rPr>
              <w:t xml:space="preserve"> CEDO</w:t>
            </w:r>
            <w:r w:rsidRPr="003874D4">
              <w:rPr>
                <w:rStyle w:val="85pt"/>
                <w:rFonts w:asciiTheme="majorHAnsi" w:hAnsiTheme="majorHAnsi"/>
                <w:b w:val="0"/>
                <w:sz w:val="20"/>
                <w:szCs w:val="20"/>
                <w:lang w:val="ro-RO"/>
              </w:rPr>
              <w:t xml:space="preserve"> – dreptul la un proces echitabil</w:t>
            </w:r>
            <w:r w:rsidRPr="003874D4">
              <w:rPr>
                <w:rFonts w:asciiTheme="majorHAnsi" w:hAnsiTheme="majorHAnsi"/>
                <w:sz w:val="20"/>
                <w:szCs w:val="20"/>
                <w:highlight w:val="yellow"/>
                <w:lang w:val="ro-RO"/>
              </w:rPr>
              <w:t xml:space="preserve"> </w:t>
            </w:r>
          </w:p>
          <w:p w:rsidR="003874D4" w:rsidRPr="003874D4" w:rsidRDefault="003874D4" w:rsidP="003874D4">
            <w:pPr>
              <w:jc w:val="both"/>
              <w:rPr>
                <w:rFonts w:asciiTheme="majorHAnsi" w:hAnsiTheme="majorHAnsi"/>
                <w:sz w:val="20"/>
                <w:szCs w:val="20"/>
                <w:highlight w:val="yellow"/>
                <w:lang w:val="ro-RO"/>
              </w:rPr>
            </w:pPr>
          </w:p>
          <w:p w:rsidR="003874D4" w:rsidRPr="003874D4" w:rsidRDefault="003874D4" w:rsidP="003874D4">
            <w:pPr>
              <w:jc w:val="both"/>
              <w:rPr>
                <w:rFonts w:asciiTheme="majorHAnsi" w:hAnsiTheme="majorHAnsi"/>
                <w:sz w:val="20"/>
                <w:szCs w:val="20"/>
                <w:lang w:val="ro-RO"/>
              </w:rPr>
            </w:pPr>
            <w:r w:rsidRPr="003874D4">
              <w:rPr>
                <w:rFonts w:asciiTheme="majorHAnsi" w:hAnsiTheme="majorHAnsi"/>
                <w:sz w:val="20"/>
                <w:szCs w:val="20"/>
                <w:lang w:val="ro-RO"/>
              </w:rPr>
              <w:t xml:space="preserve">Curtea a constatat, în unanimitate, violarea articolului 6 din Convenție, dreptul la un proces </w:t>
            </w:r>
            <w:proofErr w:type="spellStart"/>
            <w:r w:rsidRPr="003874D4">
              <w:rPr>
                <w:rFonts w:asciiTheme="majorHAnsi" w:hAnsiTheme="majorHAnsi"/>
                <w:sz w:val="20"/>
                <w:szCs w:val="20"/>
                <w:lang w:val="ro-RO"/>
              </w:rPr>
              <w:t>echitabul</w:t>
            </w:r>
            <w:proofErr w:type="spellEnd"/>
            <w:r w:rsidRPr="003874D4">
              <w:rPr>
                <w:rFonts w:asciiTheme="majorHAnsi" w:hAnsiTheme="majorHAnsi"/>
                <w:sz w:val="20"/>
                <w:szCs w:val="20"/>
                <w:lang w:val="ro-RO"/>
              </w:rPr>
              <w:t>, notând că, în contextul prezentei cauze, chestiunea termenului de prescripție invocată de reclamantul în cadrul procedurilor constituia un argument important. Fiind admis, el putea duce la respingerea acțiunii înaintate de către A.N. De fapt, prima instanță a respins acțiunea lui A.N. exact pe acest temei. În pofida acestui fapt, Curtea de Apel și Curtea Supremă au tăcut în privința obiecției reclamantului în privința admisibilității acțiunii. În lipsa unui răspuns specific și expres, este imposibil de a constata dacă aceste instanțe doar au neglijat să abordeze acest argument că acțiunea este tardivă sau dacă au intenționat să o respingă și, dacă aceasta a fost intenția, care au fost motivele în spatele deciziei respective.</w:t>
            </w:r>
          </w:p>
          <w:p w:rsidR="003874D4" w:rsidRPr="003874D4" w:rsidRDefault="003874D4" w:rsidP="003874D4">
            <w:pPr>
              <w:jc w:val="both"/>
              <w:rPr>
                <w:rFonts w:asciiTheme="majorHAnsi" w:hAnsiTheme="majorHAnsi"/>
                <w:sz w:val="20"/>
                <w:szCs w:val="20"/>
                <w:highlight w:val="yellow"/>
                <w:lang w:val="ro-RO"/>
              </w:rPr>
            </w:pPr>
          </w:p>
        </w:tc>
        <w:tc>
          <w:tcPr>
            <w:tcW w:w="2239" w:type="dxa"/>
          </w:tcPr>
          <w:p w:rsidR="003874D4" w:rsidRPr="003874D4" w:rsidRDefault="003874D4" w:rsidP="003874D4">
            <w:pPr>
              <w:pStyle w:val="1"/>
              <w:shd w:val="clear" w:color="auto" w:fill="auto"/>
              <w:spacing w:after="0" w:line="189" w:lineRule="exact"/>
              <w:jc w:val="left"/>
              <w:rPr>
                <w:rFonts w:asciiTheme="majorHAnsi" w:hAnsiTheme="majorHAnsi"/>
                <w:bCs w:val="0"/>
                <w:color w:val="000000"/>
                <w:sz w:val="20"/>
                <w:szCs w:val="20"/>
                <w:lang w:val="ro-RO"/>
              </w:rPr>
            </w:pPr>
            <w:r w:rsidRPr="003874D4">
              <w:rPr>
                <w:rFonts w:asciiTheme="majorHAnsi" w:hAnsiTheme="majorHAnsi"/>
                <w:bCs w:val="0"/>
                <w:color w:val="000000"/>
                <w:sz w:val="20"/>
                <w:szCs w:val="20"/>
                <w:lang w:val="ro-RO"/>
              </w:rPr>
              <w:t>Suma totala - EUR 4,500</w:t>
            </w:r>
          </w:p>
          <w:p w:rsidR="003874D4" w:rsidRPr="003874D4" w:rsidRDefault="003874D4" w:rsidP="003874D4">
            <w:pPr>
              <w:pStyle w:val="1"/>
              <w:shd w:val="clear" w:color="auto" w:fill="auto"/>
              <w:spacing w:after="0" w:line="189" w:lineRule="exact"/>
              <w:jc w:val="left"/>
              <w:rPr>
                <w:rFonts w:asciiTheme="majorHAnsi" w:hAnsiTheme="majorHAnsi"/>
                <w:b w:val="0"/>
                <w:sz w:val="20"/>
                <w:szCs w:val="20"/>
                <w:lang w:val="ro-RO"/>
              </w:rPr>
            </w:pPr>
            <w:proofErr w:type="spellStart"/>
            <w:r w:rsidRPr="003874D4">
              <w:rPr>
                <w:rFonts w:asciiTheme="majorHAnsi" w:hAnsiTheme="majorHAnsi"/>
                <w:b w:val="0"/>
                <w:bCs w:val="0"/>
                <w:color w:val="000000"/>
                <w:sz w:val="20"/>
                <w:szCs w:val="20"/>
                <w:lang w:val="ro-RO"/>
              </w:rPr>
              <w:t>Prejud</w:t>
            </w:r>
            <w:proofErr w:type="spellEnd"/>
            <w:r w:rsidRPr="003874D4">
              <w:rPr>
                <w:rFonts w:asciiTheme="majorHAnsi" w:hAnsiTheme="majorHAnsi"/>
                <w:b w:val="0"/>
                <w:bCs w:val="0"/>
                <w:color w:val="000000"/>
                <w:sz w:val="20"/>
                <w:szCs w:val="20"/>
                <w:lang w:val="ro-RO"/>
              </w:rPr>
              <w:t>. moral – EUR 2,500</w:t>
            </w:r>
          </w:p>
          <w:p w:rsidR="003874D4" w:rsidRPr="003874D4" w:rsidRDefault="003874D4" w:rsidP="003874D4">
            <w:pPr>
              <w:pStyle w:val="1"/>
              <w:shd w:val="clear" w:color="auto" w:fill="auto"/>
              <w:spacing w:after="60" w:line="170" w:lineRule="exact"/>
              <w:jc w:val="left"/>
              <w:rPr>
                <w:rStyle w:val="85pt"/>
                <w:rFonts w:asciiTheme="majorHAnsi" w:eastAsia="Calibri" w:hAnsiTheme="majorHAnsi"/>
                <w:sz w:val="20"/>
                <w:szCs w:val="20"/>
                <w:highlight w:val="yellow"/>
                <w:lang w:val="ro-RO"/>
              </w:rPr>
            </w:pPr>
            <w:r w:rsidRPr="003874D4">
              <w:rPr>
                <w:rFonts w:asciiTheme="majorHAnsi" w:hAnsiTheme="majorHAnsi"/>
                <w:b w:val="0"/>
                <w:bCs w:val="0"/>
                <w:color w:val="000000"/>
                <w:sz w:val="20"/>
                <w:szCs w:val="20"/>
                <w:lang w:val="ro-RO"/>
              </w:rPr>
              <w:t xml:space="preserve">Cost. și </w:t>
            </w:r>
            <w:proofErr w:type="spellStart"/>
            <w:r w:rsidRPr="003874D4">
              <w:rPr>
                <w:rFonts w:asciiTheme="majorHAnsi" w:hAnsiTheme="majorHAnsi"/>
                <w:b w:val="0"/>
                <w:bCs w:val="0"/>
                <w:color w:val="000000"/>
                <w:sz w:val="20"/>
                <w:szCs w:val="20"/>
                <w:lang w:val="ro-RO"/>
              </w:rPr>
              <w:t>chelt</w:t>
            </w:r>
            <w:proofErr w:type="spellEnd"/>
            <w:r w:rsidRPr="003874D4">
              <w:rPr>
                <w:rFonts w:asciiTheme="majorHAnsi" w:hAnsiTheme="majorHAnsi"/>
                <w:b w:val="0"/>
                <w:bCs w:val="0"/>
                <w:color w:val="000000"/>
                <w:sz w:val="20"/>
                <w:szCs w:val="20"/>
                <w:lang w:val="ro-RO"/>
              </w:rPr>
              <w:t>. - EUR 2,000</w:t>
            </w:r>
          </w:p>
        </w:tc>
        <w:tc>
          <w:tcPr>
            <w:tcW w:w="4775" w:type="dxa"/>
          </w:tcPr>
          <w:p w:rsidR="003874D4" w:rsidRPr="003874D4" w:rsidRDefault="003874D4" w:rsidP="003874D4">
            <w:pPr>
              <w:jc w:val="both"/>
              <w:rPr>
                <w:rFonts w:asciiTheme="majorHAnsi" w:hAnsiTheme="majorHAnsi"/>
                <w:sz w:val="20"/>
                <w:szCs w:val="20"/>
                <w:u w:val="single"/>
                <w:lang w:val="ro-RO"/>
              </w:rPr>
            </w:pPr>
            <w:r w:rsidRPr="003874D4">
              <w:rPr>
                <w:rFonts w:asciiTheme="majorHAnsi" w:hAnsiTheme="majorHAnsi"/>
                <w:sz w:val="20"/>
                <w:szCs w:val="20"/>
                <w:u w:val="single"/>
                <w:lang w:val="ro-RO"/>
              </w:rPr>
              <w:t>Curtea de Apel Economică</w:t>
            </w:r>
            <w:r w:rsidRPr="003874D4">
              <w:rPr>
                <w:rFonts w:asciiTheme="majorHAnsi" w:hAnsiTheme="majorHAnsi"/>
                <w:sz w:val="20"/>
                <w:szCs w:val="20"/>
                <w:lang w:val="ro-RO"/>
              </w:rPr>
              <w:t xml:space="preserve">: </w:t>
            </w:r>
            <w:r w:rsidRPr="003874D4">
              <w:rPr>
                <w:rFonts w:asciiTheme="majorHAnsi" w:hAnsiTheme="majorHAnsi"/>
                <w:b/>
                <w:sz w:val="20"/>
                <w:szCs w:val="20"/>
                <w:lang w:val="ro-RO"/>
              </w:rPr>
              <w:t xml:space="preserve">COLENCO Aureliu, </w:t>
            </w:r>
            <w:r w:rsidRPr="003874D4">
              <w:rPr>
                <w:rFonts w:asciiTheme="majorHAnsi" w:hAnsiTheme="majorHAnsi"/>
                <w:b/>
                <w:sz w:val="20"/>
                <w:szCs w:val="20"/>
                <w:highlight w:val="yellow"/>
                <w:lang w:val="ro-RO"/>
              </w:rPr>
              <w:t>CLIM Eugeniu</w:t>
            </w:r>
            <w:r w:rsidRPr="003874D4">
              <w:rPr>
                <w:rFonts w:asciiTheme="majorHAnsi" w:hAnsiTheme="majorHAnsi"/>
                <w:b/>
                <w:sz w:val="20"/>
                <w:szCs w:val="20"/>
                <w:lang w:val="ro-RO"/>
              </w:rPr>
              <w:t xml:space="preserve">, HARMANIUC Valeriu </w:t>
            </w:r>
            <w:r w:rsidRPr="003874D4">
              <w:rPr>
                <w:rFonts w:asciiTheme="majorHAnsi" w:hAnsiTheme="majorHAnsi"/>
                <w:sz w:val="20"/>
                <w:szCs w:val="20"/>
                <w:lang w:val="ro-RO"/>
              </w:rPr>
              <w:t>(9 iunie 2009 au casat hotărârea primei instanțe, emisă în favoarea reclamantului</w:t>
            </w:r>
            <w:r w:rsidRPr="003874D4">
              <w:rPr>
                <w:rFonts w:asciiTheme="majorHAnsi" w:hAnsiTheme="majorHAnsi"/>
                <w:color w:val="FF0000"/>
                <w:sz w:val="20"/>
                <w:szCs w:val="20"/>
                <w:lang w:val="ro-RO"/>
              </w:rPr>
              <w:t>,</w:t>
            </w:r>
            <w:r w:rsidRPr="003874D4">
              <w:rPr>
                <w:rFonts w:asciiTheme="majorHAnsi" w:hAnsiTheme="majorHAnsi"/>
                <w:sz w:val="20"/>
                <w:szCs w:val="20"/>
                <w:lang w:val="ro-RO"/>
              </w:rPr>
              <w:t>)</w:t>
            </w:r>
          </w:p>
          <w:p w:rsidR="003874D4" w:rsidRPr="003874D4" w:rsidRDefault="003874D4" w:rsidP="003874D4">
            <w:pPr>
              <w:jc w:val="both"/>
              <w:rPr>
                <w:rFonts w:asciiTheme="majorHAnsi" w:hAnsiTheme="majorHAnsi"/>
                <w:sz w:val="20"/>
                <w:szCs w:val="20"/>
                <w:highlight w:val="yellow"/>
                <w:u w:val="single"/>
                <w:lang w:val="ro-RO"/>
              </w:rPr>
            </w:pPr>
          </w:p>
          <w:p w:rsidR="003874D4" w:rsidRPr="003874D4" w:rsidRDefault="003874D4" w:rsidP="003874D4">
            <w:pPr>
              <w:jc w:val="both"/>
              <w:rPr>
                <w:rFonts w:asciiTheme="majorHAnsi" w:hAnsiTheme="majorHAnsi"/>
                <w:sz w:val="20"/>
                <w:szCs w:val="20"/>
                <w:lang w:val="ro-RO"/>
              </w:rPr>
            </w:pPr>
            <w:r w:rsidRPr="003874D4">
              <w:rPr>
                <w:rFonts w:asciiTheme="majorHAnsi" w:hAnsiTheme="majorHAnsi"/>
                <w:sz w:val="20"/>
                <w:szCs w:val="20"/>
                <w:u w:val="single"/>
                <w:lang w:val="ro-RO"/>
              </w:rPr>
              <w:t>Curtea Supremă de Justiție</w:t>
            </w:r>
            <w:r w:rsidRPr="003874D4">
              <w:rPr>
                <w:rFonts w:asciiTheme="majorHAnsi" w:hAnsiTheme="majorHAnsi"/>
                <w:sz w:val="20"/>
                <w:szCs w:val="20"/>
                <w:lang w:val="ro-RO"/>
              </w:rPr>
              <w:t xml:space="preserve">: </w:t>
            </w:r>
            <w:r w:rsidRPr="003874D4">
              <w:rPr>
                <w:rFonts w:asciiTheme="majorHAnsi" w:hAnsiTheme="majorHAnsi"/>
                <w:b/>
                <w:sz w:val="20"/>
                <w:szCs w:val="20"/>
                <w:lang w:val="ro-RO"/>
              </w:rPr>
              <w:t xml:space="preserve">MURUIANU Ion, MOLDOVANU Natalia, BARBA Valentin, VÎLCOV Ion, ŞUMCOV Iurie </w:t>
            </w:r>
            <w:r w:rsidRPr="003874D4">
              <w:rPr>
                <w:rFonts w:asciiTheme="majorHAnsi" w:hAnsiTheme="majorHAnsi"/>
                <w:sz w:val="20"/>
                <w:szCs w:val="20"/>
                <w:lang w:val="ro-RO"/>
              </w:rPr>
              <w:t>(17 decembrie 2009 au menținut hotărârea Curții de Apel)</w:t>
            </w:r>
          </w:p>
          <w:p w:rsidR="003874D4" w:rsidRPr="003874D4" w:rsidRDefault="003874D4" w:rsidP="003874D4">
            <w:pPr>
              <w:jc w:val="both"/>
              <w:rPr>
                <w:rFonts w:asciiTheme="majorHAnsi" w:hAnsiTheme="majorHAnsi"/>
                <w:sz w:val="20"/>
                <w:szCs w:val="20"/>
                <w:highlight w:val="yellow"/>
                <w:lang w:val="ro-RO"/>
              </w:rPr>
            </w:pPr>
          </w:p>
        </w:tc>
      </w:tr>
      <w:bookmarkEnd w:id="0"/>
    </w:tbl>
    <w:p w:rsidR="003457CE" w:rsidRPr="00B17891" w:rsidRDefault="003457CE">
      <w:pPr>
        <w:rPr>
          <w:lang w:val="ro-RO"/>
        </w:rPr>
      </w:pPr>
    </w:p>
    <w:sectPr w:rsidR="003457CE" w:rsidRPr="00B17891" w:rsidSect="00B1789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1F3"/>
    <w:multiLevelType w:val="hybridMultilevel"/>
    <w:tmpl w:val="00C0092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3F6E61"/>
    <w:multiLevelType w:val="hybridMultilevel"/>
    <w:tmpl w:val="9684C8A4"/>
    <w:lvl w:ilvl="0" w:tplc="0419000F">
      <w:start w:val="1"/>
      <w:numFmt w:val="decimal"/>
      <w:lvlText w:val="%1."/>
      <w:lvlJc w:val="left"/>
      <w:pPr>
        <w:tabs>
          <w:tab w:val="num" w:pos="766"/>
        </w:tabs>
        <w:ind w:left="766" w:hanging="360"/>
      </w:pPr>
    </w:lvl>
    <w:lvl w:ilvl="1" w:tplc="04190019" w:tentative="1">
      <w:start w:val="1"/>
      <w:numFmt w:val="lowerLetter"/>
      <w:lvlText w:val="%2."/>
      <w:lvlJc w:val="left"/>
      <w:pPr>
        <w:tabs>
          <w:tab w:val="num" w:pos="1486"/>
        </w:tabs>
        <w:ind w:left="1486" w:hanging="360"/>
      </w:pPr>
    </w:lvl>
    <w:lvl w:ilvl="2" w:tplc="0419001B" w:tentative="1">
      <w:start w:val="1"/>
      <w:numFmt w:val="lowerRoman"/>
      <w:lvlText w:val="%3."/>
      <w:lvlJc w:val="right"/>
      <w:pPr>
        <w:tabs>
          <w:tab w:val="num" w:pos="2206"/>
        </w:tabs>
        <w:ind w:left="2206" w:hanging="180"/>
      </w:pPr>
    </w:lvl>
    <w:lvl w:ilvl="3" w:tplc="0419000F" w:tentative="1">
      <w:start w:val="1"/>
      <w:numFmt w:val="decimal"/>
      <w:lvlText w:val="%4."/>
      <w:lvlJc w:val="left"/>
      <w:pPr>
        <w:tabs>
          <w:tab w:val="num" w:pos="2926"/>
        </w:tabs>
        <w:ind w:left="2926" w:hanging="360"/>
      </w:pPr>
    </w:lvl>
    <w:lvl w:ilvl="4" w:tplc="04190019" w:tentative="1">
      <w:start w:val="1"/>
      <w:numFmt w:val="lowerLetter"/>
      <w:lvlText w:val="%5."/>
      <w:lvlJc w:val="left"/>
      <w:pPr>
        <w:tabs>
          <w:tab w:val="num" w:pos="3646"/>
        </w:tabs>
        <w:ind w:left="3646" w:hanging="360"/>
      </w:pPr>
    </w:lvl>
    <w:lvl w:ilvl="5" w:tplc="0419001B" w:tentative="1">
      <w:start w:val="1"/>
      <w:numFmt w:val="lowerRoman"/>
      <w:lvlText w:val="%6."/>
      <w:lvlJc w:val="right"/>
      <w:pPr>
        <w:tabs>
          <w:tab w:val="num" w:pos="4366"/>
        </w:tabs>
        <w:ind w:left="4366" w:hanging="180"/>
      </w:pPr>
    </w:lvl>
    <w:lvl w:ilvl="6" w:tplc="0419000F" w:tentative="1">
      <w:start w:val="1"/>
      <w:numFmt w:val="decimal"/>
      <w:lvlText w:val="%7."/>
      <w:lvlJc w:val="left"/>
      <w:pPr>
        <w:tabs>
          <w:tab w:val="num" w:pos="5086"/>
        </w:tabs>
        <w:ind w:left="5086" w:hanging="360"/>
      </w:pPr>
    </w:lvl>
    <w:lvl w:ilvl="7" w:tplc="04190019" w:tentative="1">
      <w:start w:val="1"/>
      <w:numFmt w:val="lowerLetter"/>
      <w:lvlText w:val="%8."/>
      <w:lvlJc w:val="left"/>
      <w:pPr>
        <w:tabs>
          <w:tab w:val="num" w:pos="5806"/>
        </w:tabs>
        <w:ind w:left="5806" w:hanging="360"/>
      </w:pPr>
    </w:lvl>
    <w:lvl w:ilvl="8" w:tplc="0419001B" w:tentative="1">
      <w:start w:val="1"/>
      <w:numFmt w:val="lowerRoman"/>
      <w:lvlText w:val="%9."/>
      <w:lvlJc w:val="right"/>
      <w:pPr>
        <w:tabs>
          <w:tab w:val="num" w:pos="6526"/>
        </w:tabs>
        <w:ind w:left="65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91"/>
    <w:rsid w:val="000013BF"/>
    <w:rsid w:val="00002C37"/>
    <w:rsid w:val="00002E1F"/>
    <w:rsid w:val="00003FAC"/>
    <w:rsid w:val="000057F1"/>
    <w:rsid w:val="00007316"/>
    <w:rsid w:val="00007674"/>
    <w:rsid w:val="00007FB8"/>
    <w:rsid w:val="00010958"/>
    <w:rsid w:val="000112E2"/>
    <w:rsid w:val="00012469"/>
    <w:rsid w:val="00012764"/>
    <w:rsid w:val="000134EC"/>
    <w:rsid w:val="00013882"/>
    <w:rsid w:val="00016708"/>
    <w:rsid w:val="00020BB5"/>
    <w:rsid w:val="00024704"/>
    <w:rsid w:val="00025646"/>
    <w:rsid w:val="00026359"/>
    <w:rsid w:val="00026BCA"/>
    <w:rsid w:val="000271EE"/>
    <w:rsid w:val="000301FD"/>
    <w:rsid w:val="000305C1"/>
    <w:rsid w:val="00030A8E"/>
    <w:rsid w:val="00030B27"/>
    <w:rsid w:val="00031D69"/>
    <w:rsid w:val="00032187"/>
    <w:rsid w:val="0003321E"/>
    <w:rsid w:val="00034FFF"/>
    <w:rsid w:val="00041E6B"/>
    <w:rsid w:val="00042590"/>
    <w:rsid w:val="00042FD4"/>
    <w:rsid w:val="0004320E"/>
    <w:rsid w:val="00043A09"/>
    <w:rsid w:val="00043C5F"/>
    <w:rsid w:val="00044805"/>
    <w:rsid w:val="000449D4"/>
    <w:rsid w:val="00044C32"/>
    <w:rsid w:val="00045AAE"/>
    <w:rsid w:val="0004798A"/>
    <w:rsid w:val="00053367"/>
    <w:rsid w:val="000534A4"/>
    <w:rsid w:val="00054963"/>
    <w:rsid w:val="00054C4F"/>
    <w:rsid w:val="0005791C"/>
    <w:rsid w:val="00057921"/>
    <w:rsid w:val="000602D9"/>
    <w:rsid w:val="000625F7"/>
    <w:rsid w:val="00063E9B"/>
    <w:rsid w:val="00064B57"/>
    <w:rsid w:val="00064C29"/>
    <w:rsid w:val="00064E51"/>
    <w:rsid w:val="00065954"/>
    <w:rsid w:val="0006613F"/>
    <w:rsid w:val="000666D1"/>
    <w:rsid w:val="00067A6C"/>
    <w:rsid w:val="00073440"/>
    <w:rsid w:val="00074414"/>
    <w:rsid w:val="00075A59"/>
    <w:rsid w:val="00075A6A"/>
    <w:rsid w:val="000766A5"/>
    <w:rsid w:val="00083106"/>
    <w:rsid w:val="000839CE"/>
    <w:rsid w:val="000857E1"/>
    <w:rsid w:val="00085B2D"/>
    <w:rsid w:val="00085BF7"/>
    <w:rsid w:val="00086181"/>
    <w:rsid w:val="0008657D"/>
    <w:rsid w:val="00087361"/>
    <w:rsid w:val="00087541"/>
    <w:rsid w:val="00087765"/>
    <w:rsid w:val="000879EC"/>
    <w:rsid w:val="00087F80"/>
    <w:rsid w:val="00090320"/>
    <w:rsid w:val="000922C5"/>
    <w:rsid w:val="00094F9E"/>
    <w:rsid w:val="00097315"/>
    <w:rsid w:val="00097968"/>
    <w:rsid w:val="000A1B27"/>
    <w:rsid w:val="000A2614"/>
    <w:rsid w:val="000A4096"/>
    <w:rsid w:val="000A5366"/>
    <w:rsid w:val="000A6151"/>
    <w:rsid w:val="000A65EB"/>
    <w:rsid w:val="000B17B9"/>
    <w:rsid w:val="000B2B90"/>
    <w:rsid w:val="000B47DB"/>
    <w:rsid w:val="000B5003"/>
    <w:rsid w:val="000B5857"/>
    <w:rsid w:val="000C0669"/>
    <w:rsid w:val="000C1010"/>
    <w:rsid w:val="000C17DE"/>
    <w:rsid w:val="000C1A99"/>
    <w:rsid w:val="000C3808"/>
    <w:rsid w:val="000C3DDE"/>
    <w:rsid w:val="000C4D89"/>
    <w:rsid w:val="000C4F9D"/>
    <w:rsid w:val="000C59B7"/>
    <w:rsid w:val="000C5BD3"/>
    <w:rsid w:val="000C6026"/>
    <w:rsid w:val="000C6DD0"/>
    <w:rsid w:val="000C6E70"/>
    <w:rsid w:val="000C6FCE"/>
    <w:rsid w:val="000C78C7"/>
    <w:rsid w:val="000D06A2"/>
    <w:rsid w:val="000D2FD9"/>
    <w:rsid w:val="000D32EF"/>
    <w:rsid w:val="000D717A"/>
    <w:rsid w:val="000D7FD3"/>
    <w:rsid w:val="000E09B7"/>
    <w:rsid w:val="000E1AF2"/>
    <w:rsid w:val="000E234F"/>
    <w:rsid w:val="000E31DA"/>
    <w:rsid w:val="000E3916"/>
    <w:rsid w:val="000E44F0"/>
    <w:rsid w:val="000E5C94"/>
    <w:rsid w:val="000E600F"/>
    <w:rsid w:val="000E6206"/>
    <w:rsid w:val="000E6BA1"/>
    <w:rsid w:val="000F1713"/>
    <w:rsid w:val="000F2760"/>
    <w:rsid w:val="000F2D8A"/>
    <w:rsid w:val="000F4895"/>
    <w:rsid w:val="000F5EAF"/>
    <w:rsid w:val="000F5EBD"/>
    <w:rsid w:val="000F6D82"/>
    <w:rsid w:val="000F7514"/>
    <w:rsid w:val="00100C47"/>
    <w:rsid w:val="00101065"/>
    <w:rsid w:val="0010364E"/>
    <w:rsid w:val="00104ECC"/>
    <w:rsid w:val="00106FEE"/>
    <w:rsid w:val="001108BB"/>
    <w:rsid w:val="001115D1"/>
    <w:rsid w:val="00111A24"/>
    <w:rsid w:val="00111B27"/>
    <w:rsid w:val="001125B1"/>
    <w:rsid w:val="00113040"/>
    <w:rsid w:val="0011375D"/>
    <w:rsid w:val="00114287"/>
    <w:rsid w:val="0011459F"/>
    <w:rsid w:val="001147C2"/>
    <w:rsid w:val="00123886"/>
    <w:rsid w:val="00125100"/>
    <w:rsid w:val="001257FD"/>
    <w:rsid w:val="00125F40"/>
    <w:rsid w:val="00130C89"/>
    <w:rsid w:val="00130F8E"/>
    <w:rsid w:val="00131296"/>
    <w:rsid w:val="001327E0"/>
    <w:rsid w:val="00133A5C"/>
    <w:rsid w:val="00136628"/>
    <w:rsid w:val="0013694B"/>
    <w:rsid w:val="00136F2B"/>
    <w:rsid w:val="001372CA"/>
    <w:rsid w:val="00137B42"/>
    <w:rsid w:val="0014317A"/>
    <w:rsid w:val="00143380"/>
    <w:rsid w:val="001454A6"/>
    <w:rsid w:val="00145CF4"/>
    <w:rsid w:val="00147673"/>
    <w:rsid w:val="0015218A"/>
    <w:rsid w:val="00152F5E"/>
    <w:rsid w:val="001534D6"/>
    <w:rsid w:val="00153980"/>
    <w:rsid w:val="00153F1B"/>
    <w:rsid w:val="00154159"/>
    <w:rsid w:val="001561DE"/>
    <w:rsid w:val="001570CE"/>
    <w:rsid w:val="00157330"/>
    <w:rsid w:val="00161E79"/>
    <w:rsid w:val="00163398"/>
    <w:rsid w:val="00163F06"/>
    <w:rsid w:val="001643F1"/>
    <w:rsid w:val="00164738"/>
    <w:rsid w:val="00164F1C"/>
    <w:rsid w:val="00165B36"/>
    <w:rsid w:val="001664A2"/>
    <w:rsid w:val="00167540"/>
    <w:rsid w:val="0017041E"/>
    <w:rsid w:val="00170B5A"/>
    <w:rsid w:val="001711D2"/>
    <w:rsid w:val="00175A37"/>
    <w:rsid w:val="00175DFF"/>
    <w:rsid w:val="00176DE1"/>
    <w:rsid w:val="00177416"/>
    <w:rsid w:val="001776CB"/>
    <w:rsid w:val="00177A11"/>
    <w:rsid w:val="00182288"/>
    <w:rsid w:val="0018458B"/>
    <w:rsid w:val="00185570"/>
    <w:rsid w:val="00186054"/>
    <w:rsid w:val="0018651C"/>
    <w:rsid w:val="001901E3"/>
    <w:rsid w:val="00191A6F"/>
    <w:rsid w:val="00192048"/>
    <w:rsid w:val="00192B3A"/>
    <w:rsid w:val="00192E93"/>
    <w:rsid w:val="00192EC7"/>
    <w:rsid w:val="00194BD4"/>
    <w:rsid w:val="001952B4"/>
    <w:rsid w:val="00197916"/>
    <w:rsid w:val="001979C4"/>
    <w:rsid w:val="00197D57"/>
    <w:rsid w:val="001A08FB"/>
    <w:rsid w:val="001A115F"/>
    <w:rsid w:val="001A1A46"/>
    <w:rsid w:val="001A2529"/>
    <w:rsid w:val="001A47C8"/>
    <w:rsid w:val="001A4969"/>
    <w:rsid w:val="001A51F7"/>
    <w:rsid w:val="001A5609"/>
    <w:rsid w:val="001A5840"/>
    <w:rsid w:val="001A7D11"/>
    <w:rsid w:val="001B26A3"/>
    <w:rsid w:val="001B3A7E"/>
    <w:rsid w:val="001B3E6E"/>
    <w:rsid w:val="001B41E7"/>
    <w:rsid w:val="001B505D"/>
    <w:rsid w:val="001B529B"/>
    <w:rsid w:val="001B593B"/>
    <w:rsid w:val="001B5B28"/>
    <w:rsid w:val="001B69BA"/>
    <w:rsid w:val="001B6B4D"/>
    <w:rsid w:val="001B7978"/>
    <w:rsid w:val="001C152F"/>
    <w:rsid w:val="001C1C95"/>
    <w:rsid w:val="001C1F6E"/>
    <w:rsid w:val="001C20EC"/>
    <w:rsid w:val="001C323C"/>
    <w:rsid w:val="001C488C"/>
    <w:rsid w:val="001C5437"/>
    <w:rsid w:val="001C5768"/>
    <w:rsid w:val="001C5875"/>
    <w:rsid w:val="001C6939"/>
    <w:rsid w:val="001C7C90"/>
    <w:rsid w:val="001D237B"/>
    <w:rsid w:val="001D2609"/>
    <w:rsid w:val="001D3CD4"/>
    <w:rsid w:val="001D48F5"/>
    <w:rsid w:val="001D69BD"/>
    <w:rsid w:val="001D717E"/>
    <w:rsid w:val="001D74FA"/>
    <w:rsid w:val="001E11B8"/>
    <w:rsid w:val="001E1A1C"/>
    <w:rsid w:val="001E4060"/>
    <w:rsid w:val="001E4805"/>
    <w:rsid w:val="001E6C66"/>
    <w:rsid w:val="001E7883"/>
    <w:rsid w:val="001F1285"/>
    <w:rsid w:val="001F1DF2"/>
    <w:rsid w:val="001F2630"/>
    <w:rsid w:val="001F290B"/>
    <w:rsid w:val="001F414E"/>
    <w:rsid w:val="001F4561"/>
    <w:rsid w:val="001F47D4"/>
    <w:rsid w:val="001F4855"/>
    <w:rsid w:val="001F658F"/>
    <w:rsid w:val="001F696A"/>
    <w:rsid w:val="001F79CF"/>
    <w:rsid w:val="00200230"/>
    <w:rsid w:val="002009FA"/>
    <w:rsid w:val="00200CAC"/>
    <w:rsid w:val="00202475"/>
    <w:rsid w:val="00202826"/>
    <w:rsid w:val="00202BDD"/>
    <w:rsid w:val="00204606"/>
    <w:rsid w:val="002049B0"/>
    <w:rsid w:val="00207717"/>
    <w:rsid w:val="00207D74"/>
    <w:rsid w:val="00212DED"/>
    <w:rsid w:val="002133EC"/>
    <w:rsid w:val="00215E08"/>
    <w:rsid w:val="002172C7"/>
    <w:rsid w:val="00217938"/>
    <w:rsid w:val="00220641"/>
    <w:rsid w:val="002206C3"/>
    <w:rsid w:val="00220D85"/>
    <w:rsid w:val="002243CA"/>
    <w:rsid w:val="00224FBB"/>
    <w:rsid w:val="00225A78"/>
    <w:rsid w:val="00226FA7"/>
    <w:rsid w:val="00227035"/>
    <w:rsid w:val="00227E1A"/>
    <w:rsid w:val="002306CE"/>
    <w:rsid w:val="00230FCD"/>
    <w:rsid w:val="00232383"/>
    <w:rsid w:val="002323FC"/>
    <w:rsid w:val="002324BB"/>
    <w:rsid w:val="002325C3"/>
    <w:rsid w:val="00232893"/>
    <w:rsid w:val="00233ACA"/>
    <w:rsid w:val="00234884"/>
    <w:rsid w:val="00234DD0"/>
    <w:rsid w:val="00235161"/>
    <w:rsid w:val="002357A0"/>
    <w:rsid w:val="002362B7"/>
    <w:rsid w:val="00236323"/>
    <w:rsid w:val="002365B2"/>
    <w:rsid w:val="0023776C"/>
    <w:rsid w:val="0024041B"/>
    <w:rsid w:val="00240439"/>
    <w:rsid w:val="002407EA"/>
    <w:rsid w:val="00241ABF"/>
    <w:rsid w:val="002420D3"/>
    <w:rsid w:val="0024354B"/>
    <w:rsid w:val="002436F7"/>
    <w:rsid w:val="002513EF"/>
    <w:rsid w:val="00251D42"/>
    <w:rsid w:val="002535BA"/>
    <w:rsid w:val="00255E81"/>
    <w:rsid w:val="0025791A"/>
    <w:rsid w:val="00260A7D"/>
    <w:rsid w:val="00260D9A"/>
    <w:rsid w:val="00261065"/>
    <w:rsid w:val="00261751"/>
    <w:rsid w:val="00261A9F"/>
    <w:rsid w:val="00261AFD"/>
    <w:rsid w:val="00261C4B"/>
    <w:rsid w:val="002628F4"/>
    <w:rsid w:val="00262EF9"/>
    <w:rsid w:val="002638F6"/>
    <w:rsid w:val="00264C81"/>
    <w:rsid w:val="00265D1B"/>
    <w:rsid w:val="00266749"/>
    <w:rsid w:val="002676E8"/>
    <w:rsid w:val="00267889"/>
    <w:rsid w:val="00267D42"/>
    <w:rsid w:val="002701F3"/>
    <w:rsid w:val="00270791"/>
    <w:rsid w:val="0027174D"/>
    <w:rsid w:val="002720F0"/>
    <w:rsid w:val="00272159"/>
    <w:rsid w:val="002725BB"/>
    <w:rsid w:val="00273FAF"/>
    <w:rsid w:val="002744FC"/>
    <w:rsid w:val="0027537C"/>
    <w:rsid w:val="002757A0"/>
    <w:rsid w:val="00277E8D"/>
    <w:rsid w:val="00281F5E"/>
    <w:rsid w:val="00282238"/>
    <w:rsid w:val="00283856"/>
    <w:rsid w:val="0028466C"/>
    <w:rsid w:val="002852E7"/>
    <w:rsid w:val="002858B1"/>
    <w:rsid w:val="00286715"/>
    <w:rsid w:val="00286759"/>
    <w:rsid w:val="002873B0"/>
    <w:rsid w:val="0028749C"/>
    <w:rsid w:val="002879A7"/>
    <w:rsid w:val="00290E18"/>
    <w:rsid w:val="00291143"/>
    <w:rsid w:val="00291281"/>
    <w:rsid w:val="002912DA"/>
    <w:rsid w:val="002913F0"/>
    <w:rsid w:val="00292FB6"/>
    <w:rsid w:val="0029402A"/>
    <w:rsid w:val="00294B01"/>
    <w:rsid w:val="0029535C"/>
    <w:rsid w:val="00295930"/>
    <w:rsid w:val="00295E76"/>
    <w:rsid w:val="002971CF"/>
    <w:rsid w:val="00297958"/>
    <w:rsid w:val="002A001C"/>
    <w:rsid w:val="002A0041"/>
    <w:rsid w:val="002A01BA"/>
    <w:rsid w:val="002A03E9"/>
    <w:rsid w:val="002A05EF"/>
    <w:rsid w:val="002A16B2"/>
    <w:rsid w:val="002A196A"/>
    <w:rsid w:val="002A3B04"/>
    <w:rsid w:val="002A4147"/>
    <w:rsid w:val="002A4A61"/>
    <w:rsid w:val="002A4B66"/>
    <w:rsid w:val="002A58F0"/>
    <w:rsid w:val="002A629D"/>
    <w:rsid w:val="002A711E"/>
    <w:rsid w:val="002A73BC"/>
    <w:rsid w:val="002B0272"/>
    <w:rsid w:val="002B0528"/>
    <w:rsid w:val="002B0876"/>
    <w:rsid w:val="002B0FB9"/>
    <w:rsid w:val="002B2361"/>
    <w:rsid w:val="002B422A"/>
    <w:rsid w:val="002B4672"/>
    <w:rsid w:val="002B4CBA"/>
    <w:rsid w:val="002B4FA4"/>
    <w:rsid w:val="002B58BB"/>
    <w:rsid w:val="002B5D2B"/>
    <w:rsid w:val="002B6763"/>
    <w:rsid w:val="002B6815"/>
    <w:rsid w:val="002B76A0"/>
    <w:rsid w:val="002C08D4"/>
    <w:rsid w:val="002C0B0A"/>
    <w:rsid w:val="002C1394"/>
    <w:rsid w:val="002C1A80"/>
    <w:rsid w:val="002C2952"/>
    <w:rsid w:val="002C2D32"/>
    <w:rsid w:val="002C5163"/>
    <w:rsid w:val="002C523D"/>
    <w:rsid w:val="002D03E0"/>
    <w:rsid w:val="002D0A65"/>
    <w:rsid w:val="002D1462"/>
    <w:rsid w:val="002D1D3C"/>
    <w:rsid w:val="002D31B2"/>
    <w:rsid w:val="002D44FB"/>
    <w:rsid w:val="002D4705"/>
    <w:rsid w:val="002D571A"/>
    <w:rsid w:val="002D5CDB"/>
    <w:rsid w:val="002D6506"/>
    <w:rsid w:val="002D68F7"/>
    <w:rsid w:val="002D692E"/>
    <w:rsid w:val="002D7CD0"/>
    <w:rsid w:val="002D7E91"/>
    <w:rsid w:val="002E126C"/>
    <w:rsid w:val="002E12D3"/>
    <w:rsid w:val="002E1FA6"/>
    <w:rsid w:val="002E354A"/>
    <w:rsid w:val="002E514E"/>
    <w:rsid w:val="002E58E6"/>
    <w:rsid w:val="002E698E"/>
    <w:rsid w:val="002F0B0C"/>
    <w:rsid w:val="002F1505"/>
    <w:rsid w:val="002F231B"/>
    <w:rsid w:val="002F2BA9"/>
    <w:rsid w:val="002F3207"/>
    <w:rsid w:val="002F39C3"/>
    <w:rsid w:val="002F3AE9"/>
    <w:rsid w:val="002F52A7"/>
    <w:rsid w:val="002F6791"/>
    <w:rsid w:val="003002F9"/>
    <w:rsid w:val="00301432"/>
    <w:rsid w:val="00304B3A"/>
    <w:rsid w:val="00305472"/>
    <w:rsid w:val="003064EA"/>
    <w:rsid w:val="00306652"/>
    <w:rsid w:val="003103FC"/>
    <w:rsid w:val="003107AE"/>
    <w:rsid w:val="00311461"/>
    <w:rsid w:val="00312904"/>
    <w:rsid w:val="003133D5"/>
    <w:rsid w:val="00313765"/>
    <w:rsid w:val="00315135"/>
    <w:rsid w:val="003154D5"/>
    <w:rsid w:val="00315529"/>
    <w:rsid w:val="0032047E"/>
    <w:rsid w:val="00320701"/>
    <w:rsid w:val="00320789"/>
    <w:rsid w:val="00323B02"/>
    <w:rsid w:val="00324627"/>
    <w:rsid w:val="0032485C"/>
    <w:rsid w:val="0032606F"/>
    <w:rsid w:val="0032738F"/>
    <w:rsid w:val="003304CC"/>
    <w:rsid w:val="00330B55"/>
    <w:rsid w:val="00330F18"/>
    <w:rsid w:val="003331C6"/>
    <w:rsid w:val="003337E3"/>
    <w:rsid w:val="00333C7D"/>
    <w:rsid w:val="00334B4F"/>
    <w:rsid w:val="003367BF"/>
    <w:rsid w:val="00337199"/>
    <w:rsid w:val="003376EF"/>
    <w:rsid w:val="00340247"/>
    <w:rsid w:val="00340B64"/>
    <w:rsid w:val="00342F9A"/>
    <w:rsid w:val="00343102"/>
    <w:rsid w:val="00343C13"/>
    <w:rsid w:val="00343D44"/>
    <w:rsid w:val="0034452C"/>
    <w:rsid w:val="003457CE"/>
    <w:rsid w:val="00346718"/>
    <w:rsid w:val="00346BA6"/>
    <w:rsid w:val="0034754B"/>
    <w:rsid w:val="0034767B"/>
    <w:rsid w:val="00347E58"/>
    <w:rsid w:val="00350B07"/>
    <w:rsid w:val="00350D6A"/>
    <w:rsid w:val="00351318"/>
    <w:rsid w:val="00353EB3"/>
    <w:rsid w:val="003549BE"/>
    <w:rsid w:val="00354A30"/>
    <w:rsid w:val="003576F5"/>
    <w:rsid w:val="00357D5C"/>
    <w:rsid w:val="00360469"/>
    <w:rsid w:val="0036088B"/>
    <w:rsid w:val="00360D94"/>
    <w:rsid w:val="00363485"/>
    <w:rsid w:val="00363547"/>
    <w:rsid w:val="003636F1"/>
    <w:rsid w:val="003646A0"/>
    <w:rsid w:val="00365A22"/>
    <w:rsid w:val="00366576"/>
    <w:rsid w:val="00367010"/>
    <w:rsid w:val="00367233"/>
    <w:rsid w:val="00373EAA"/>
    <w:rsid w:val="00373F0F"/>
    <w:rsid w:val="00374F26"/>
    <w:rsid w:val="00375104"/>
    <w:rsid w:val="003758EB"/>
    <w:rsid w:val="00375C94"/>
    <w:rsid w:val="00375CBC"/>
    <w:rsid w:val="00375D46"/>
    <w:rsid w:val="0037750E"/>
    <w:rsid w:val="00377612"/>
    <w:rsid w:val="00377AA5"/>
    <w:rsid w:val="0038105B"/>
    <w:rsid w:val="00381332"/>
    <w:rsid w:val="003814A8"/>
    <w:rsid w:val="00381D57"/>
    <w:rsid w:val="003834A1"/>
    <w:rsid w:val="003836E4"/>
    <w:rsid w:val="00383E73"/>
    <w:rsid w:val="00383EBA"/>
    <w:rsid w:val="003849F4"/>
    <w:rsid w:val="00384BA8"/>
    <w:rsid w:val="00385320"/>
    <w:rsid w:val="00385B19"/>
    <w:rsid w:val="00385BE9"/>
    <w:rsid w:val="00386865"/>
    <w:rsid w:val="003873CD"/>
    <w:rsid w:val="00387449"/>
    <w:rsid w:val="003874D4"/>
    <w:rsid w:val="00387A6A"/>
    <w:rsid w:val="00390A13"/>
    <w:rsid w:val="00393735"/>
    <w:rsid w:val="0039662E"/>
    <w:rsid w:val="00396F89"/>
    <w:rsid w:val="003A01E4"/>
    <w:rsid w:val="003A1234"/>
    <w:rsid w:val="003A172D"/>
    <w:rsid w:val="003A2316"/>
    <w:rsid w:val="003A2670"/>
    <w:rsid w:val="003A5167"/>
    <w:rsid w:val="003A519A"/>
    <w:rsid w:val="003A57E5"/>
    <w:rsid w:val="003B11D5"/>
    <w:rsid w:val="003B131A"/>
    <w:rsid w:val="003B1989"/>
    <w:rsid w:val="003B414C"/>
    <w:rsid w:val="003B46AA"/>
    <w:rsid w:val="003B4B61"/>
    <w:rsid w:val="003B6066"/>
    <w:rsid w:val="003C021E"/>
    <w:rsid w:val="003C032B"/>
    <w:rsid w:val="003C079C"/>
    <w:rsid w:val="003C0CB9"/>
    <w:rsid w:val="003C1753"/>
    <w:rsid w:val="003C1B7F"/>
    <w:rsid w:val="003C201F"/>
    <w:rsid w:val="003C2242"/>
    <w:rsid w:val="003C3A97"/>
    <w:rsid w:val="003C3EED"/>
    <w:rsid w:val="003C4E5E"/>
    <w:rsid w:val="003C5901"/>
    <w:rsid w:val="003C5B55"/>
    <w:rsid w:val="003C633E"/>
    <w:rsid w:val="003D01B5"/>
    <w:rsid w:val="003D040B"/>
    <w:rsid w:val="003D083E"/>
    <w:rsid w:val="003D0A74"/>
    <w:rsid w:val="003D138D"/>
    <w:rsid w:val="003D2A42"/>
    <w:rsid w:val="003D3B75"/>
    <w:rsid w:val="003D3F59"/>
    <w:rsid w:val="003D469D"/>
    <w:rsid w:val="003D5083"/>
    <w:rsid w:val="003D6400"/>
    <w:rsid w:val="003D7388"/>
    <w:rsid w:val="003D7E52"/>
    <w:rsid w:val="003E19DC"/>
    <w:rsid w:val="003E1B2E"/>
    <w:rsid w:val="003E2CDC"/>
    <w:rsid w:val="003E2DC3"/>
    <w:rsid w:val="003E4EE2"/>
    <w:rsid w:val="003E7243"/>
    <w:rsid w:val="003E7E76"/>
    <w:rsid w:val="003F1125"/>
    <w:rsid w:val="003F17DF"/>
    <w:rsid w:val="003F26CD"/>
    <w:rsid w:val="003F38D9"/>
    <w:rsid w:val="003F5431"/>
    <w:rsid w:val="003F5599"/>
    <w:rsid w:val="003F686A"/>
    <w:rsid w:val="003F6FBC"/>
    <w:rsid w:val="003F7981"/>
    <w:rsid w:val="0040018F"/>
    <w:rsid w:val="00401603"/>
    <w:rsid w:val="00401C30"/>
    <w:rsid w:val="004027C1"/>
    <w:rsid w:val="00403C30"/>
    <w:rsid w:val="00403D58"/>
    <w:rsid w:val="00405396"/>
    <w:rsid w:val="00405A13"/>
    <w:rsid w:val="004064A0"/>
    <w:rsid w:val="0040774F"/>
    <w:rsid w:val="00411925"/>
    <w:rsid w:val="00412045"/>
    <w:rsid w:val="00412518"/>
    <w:rsid w:val="00412AB9"/>
    <w:rsid w:val="004130F1"/>
    <w:rsid w:val="004138D9"/>
    <w:rsid w:val="00414567"/>
    <w:rsid w:val="00415790"/>
    <w:rsid w:val="00415898"/>
    <w:rsid w:val="004204C5"/>
    <w:rsid w:val="00421284"/>
    <w:rsid w:val="00421965"/>
    <w:rsid w:val="00421DF8"/>
    <w:rsid w:val="00422753"/>
    <w:rsid w:val="0042283B"/>
    <w:rsid w:val="00423E06"/>
    <w:rsid w:val="00424DBB"/>
    <w:rsid w:val="004255A2"/>
    <w:rsid w:val="00425E6A"/>
    <w:rsid w:val="00425FA6"/>
    <w:rsid w:val="00426BD0"/>
    <w:rsid w:val="00430B3F"/>
    <w:rsid w:val="00432864"/>
    <w:rsid w:val="00435AFC"/>
    <w:rsid w:val="00436B76"/>
    <w:rsid w:val="00436BBB"/>
    <w:rsid w:val="00437611"/>
    <w:rsid w:val="00437C0F"/>
    <w:rsid w:val="00437E60"/>
    <w:rsid w:val="00441A20"/>
    <w:rsid w:val="00442B26"/>
    <w:rsid w:val="00443963"/>
    <w:rsid w:val="00443D66"/>
    <w:rsid w:val="00444BB1"/>
    <w:rsid w:val="00444C5A"/>
    <w:rsid w:val="00444CB2"/>
    <w:rsid w:val="00445416"/>
    <w:rsid w:val="0044639A"/>
    <w:rsid w:val="0044642C"/>
    <w:rsid w:val="004469C4"/>
    <w:rsid w:val="00446B07"/>
    <w:rsid w:val="004474BF"/>
    <w:rsid w:val="00447CCB"/>
    <w:rsid w:val="00447E03"/>
    <w:rsid w:val="00450050"/>
    <w:rsid w:val="00450602"/>
    <w:rsid w:val="004509F2"/>
    <w:rsid w:val="00452418"/>
    <w:rsid w:val="00452FA8"/>
    <w:rsid w:val="004536C4"/>
    <w:rsid w:val="00454CB1"/>
    <w:rsid w:val="0045684B"/>
    <w:rsid w:val="00457EF0"/>
    <w:rsid w:val="004613D9"/>
    <w:rsid w:val="0046144F"/>
    <w:rsid w:val="0046221B"/>
    <w:rsid w:val="00462C30"/>
    <w:rsid w:val="00463BE5"/>
    <w:rsid w:val="00465781"/>
    <w:rsid w:val="00466123"/>
    <w:rsid w:val="0046696D"/>
    <w:rsid w:val="00466BF1"/>
    <w:rsid w:val="004675EE"/>
    <w:rsid w:val="00467F1E"/>
    <w:rsid w:val="00470BF2"/>
    <w:rsid w:val="0047109B"/>
    <w:rsid w:val="0047124A"/>
    <w:rsid w:val="00472ECB"/>
    <w:rsid w:val="004737DD"/>
    <w:rsid w:val="00473EFB"/>
    <w:rsid w:val="00475919"/>
    <w:rsid w:val="00475F20"/>
    <w:rsid w:val="00477CF1"/>
    <w:rsid w:val="00481A26"/>
    <w:rsid w:val="00482895"/>
    <w:rsid w:val="004839BD"/>
    <w:rsid w:val="00483ED5"/>
    <w:rsid w:val="004843E7"/>
    <w:rsid w:val="004858D6"/>
    <w:rsid w:val="004876F6"/>
    <w:rsid w:val="0049051A"/>
    <w:rsid w:val="00490837"/>
    <w:rsid w:val="00490976"/>
    <w:rsid w:val="00490C6C"/>
    <w:rsid w:val="00491F63"/>
    <w:rsid w:val="00492926"/>
    <w:rsid w:val="004937A8"/>
    <w:rsid w:val="00496106"/>
    <w:rsid w:val="00496296"/>
    <w:rsid w:val="00497B2A"/>
    <w:rsid w:val="004A0597"/>
    <w:rsid w:val="004A1F12"/>
    <w:rsid w:val="004A285B"/>
    <w:rsid w:val="004A2A42"/>
    <w:rsid w:val="004A3296"/>
    <w:rsid w:val="004A4F98"/>
    <w:rsid w:val="004A52CD"/>
    <w:rsid w:val="004A6914"/>
    <w:rsid w:val="004A70CC"/>
    <w:rsid w:val="004A7EA3"/>
    <w:rsid w:val="004B0720"/>
    <w:rsid w:val="004B0ACC"/>
    <w:rsid w:val="004B2738"/>
    <w:rsid w:val="004B6005"/>
    <w:rsid w:val="004B67E2"/>
    <w:rsid w:val="004B682C"/>
    <w:rsid w:val="004B7690"/>
    <w:rsid w:val="004B7865"/>
    <w:rsid w:val="004C1D63"/>
    <w:rsid w:val="004C3658"/>
    <w:rsid w:val="004C3B5C"/>
    <w:rsid w:val="004C4415"/>
    <w:rsid w:val="004C4CEB"/>
    <w:rsid w:val="004C6548"/>
    <w:rsid w:val="004C7AAE"/>
    <w:rsid w:val="004D143B"/>
    <w:rsid w:val="004D32B7"/>
    <w:rsid w:val="004D4B2A"/>
    <w:rsid w:val="004D5516"/>
    <w:rsid w:val="004D5711"/>
    <w:rsid w:val="004D67C9"/>
    <w:rsid w:val="004D6913"/>
    <w:rsid w:val="004E02D4"/>
    <w:rsid w:val="004E1A09"/>
    <w:rsid w:val="004E30A2"/>
    <w:rsid w:val="004E326F"/>
    <w:rsid w:val="004E35EC"/>
    <w:rsid w:val="004E3D2D"/>
    <w:rsid w:val="004E4057"/>
    <w:rsid w:val="004E413A"/>
    <w:rsid w:val="004E49C9"/>
    <w:rsid w:val="004E4B4A"/>
    <w:rsid w:val="004E6ACF"/>
    <w:rsid w:val="004E7E39"/>
    <w:rsid w:val="004F0EF3"/>
    <w:rsid w:val="004F2FAF"/>
    <w:rsid w:val="004F3218"/>
    <w:rsid w:val="004F39C3"/>
    <w:rsid w:val="004F46A4"/>
    <w:rsid w:val="004F4E62"/>
    <w:rsid w:val="004F59AF"/>
    <w:rsid w:val="004F5C8B"/>
    <w:rsid w:val="004F64D5"/>
    <w:rsid w:val="004F713D"/>
    <w:rsid w:val="004F74FF"/>
    <w:rsid w:val="004F757A"/>
    <w:rsid w:val="004F7B81"/>
    <w:rsid w:val="00502CB0"/>
    <w:rsid w:val="00502E81"/>
    <w:rsid w:val="00503169"/>
    <w:rsid w:val="00503950"/>
    <w:rsid w:val="00503A06"/>
    <w:rsid w:val="0050403B"/>
    <w:rsid w:val="00507918"/>
    <w:rsid w:val="00513443"/>
    <w:rsid w:val="00513477"/>
    <w:rsid w:val="00513F10"/>
    <w:rsid w:val="0051430E"/>
    <w:rsid w:val="005144E4"/>
    <w:rsid w:val="00514777"/>
    <w:rsid w:val="00514977"/>
    <w:rsid w:val="00515D70"/>
    <w:rsid w:val="00516604"/>
    <w:rsid w:val="005167F3"/>
    <w:rsid w:val="005225B5"/>
    <w:rsid w:val="0052267B"/>
    <w:rsid w:val="00522701"/>
    <w:rsid w:val="00523462"/>
    <w:rsid w:val="0052471C"/>
    <w:rsid w:val="005255B7"/>
    <w:rsid w:val="005257D9"/>
    <w:rsid w:val="00525AB1"/>
    <w:rsid w:val="005270D9"/>
    <w:rsid w:val="0052762B"/>
    <w:rsid w:val="00530FB8"/>
    <w:rsid w:val="00532336"/>
    <w:rsid w:val="0053277D"/>
    <w:rsid w:val="00533018"/>
    <w:rsid w:val="00533206"/>
    <w:rsid w:val="005358C6"/>
    <w:rsid w:val="00535B28"/>
    <w:rsid w:val="00535E57"/>
    <w:rsid w:val="00541135"/>
    <w:rsid w:val="005417DD"/>
    <w:rsid w:val="00542414"/>
    <w:rsid w:val="00542EBA"/>
    <w:rsid w:val="00544362"/>
    <w:rsid w:val="00544F96"/>
    <w:rsid w:val="00545A83"/>
    <w:rsid w:val="00546CCF"/>
    <w:rsid w:val="00547457"/>
    <w:rsid w:val="00547A90"/>
    <w:rsid w:val="00547F66"/>
    <w:rsid w:val="005515E5"/>
    <w:rsid w:val="00556AE6"/>
    <w:rsid w:val="0055735A"/>
    <w:rsid w:val="00557C46"/>
    <w:rsid w:val="00562EFE"/>
    <w:rsid w:val="00563CA4"/>
    <w:rsid w:val="00563FB6"/>
    <w:rsid w:val="00564961"/>
    <w:rsid w:val="00565722"/>
    <w:rsid w:val="00565A7C"/>
    <w:rsid w:val="00566676"/>
    <w:rsid w:val="00566776"/>
    <w:rsid w:val="005677E2"/>
    <w:rsid w:val="005704DA"/>
    <w:rsid w:val="0057063D"/>
    <w:rsid w:val="00570DD0"/>
    <w:rsid w:val="00571212"/>
    <w:rsid w:val="00571DB3"/>
    <w:rsid w:val="00573567"/>
    <w:rsid w:val="00573648"/>
    <w:rsid w:val="00573C28"/>
    <w:rsid w:val="00574C60"/>
    <w:rsid w:val="005750E0"/>
    <w:rsid w:val="0057530D"/>
    <w:rsid w:val="0057538B"/>
    <w:rsid w:val="00575997"/>
    <w:rsid w:val="005762ED"/>
    <w:rsid w:val="00576C8D"/>
    <w:rsid w:val="00576ED0"/>
    <w:rsid w:val="00577150"/>
    <w:rsid w:val="0057719A"/>
    <w:rsid w:val="00577AB6"/>
    <w:rsid w:val="005802A8"/>
    <w:rsid w:val="0058173A"/>
    <w:rsid w:val="00581D12"/>
    <w:rsid w:val="00582671"/>
    <w:rsid w:val="00584F02"/>
    <w:rsid w:val="00587005"/>
    <w:rsid w:val="0058703D"/>
    <w:rsid w:val="00590304"/>
    <w:rsid w:val="00590461"/>
    <w:rsid w:val="00590DB0"/>
    <w:rsid w:val="005919B0"/>
    <w:rsid w:val="00593DBF"/>
    <w:rsid w:val="005953C0"/>
    <w:rsid w:val="00595CB5"/>
    <w:rsid w:val="00595FA4"/>
    <w:rsid w:val="00596A5C"/>
    <w:rsid w:val="0059707C"/>
    <w:rsid w:val="0059745D"/>
    <w:rsid w:val="00597A99"/>
    <w:rsid w:val="00597B6F"/>
    <w:rsid w:val="005A021F"/>
    <w:rsid w:val="005A1AD5"/>
    <w:rsid w:val="005A2803"/>
    <w:rsid w:val="005A4571"/>
    <w:rsid w:val="005A4C8D"/>
    <w:rsid w:val="005A537B"/>
    <w:rsid w:val="005A5FAD"/>
    <w:rsid w:val="005A6E74"/>
    <w:rsid w:val="005A6FAF"/>
    <w:rsid w:val="005A722E"/>
    <w:rsid w:val="005A7673"/>
    <w:rsid w:val="005A7CEF"/>
    <w:rsid w:val="005B097C"/>
    <w:rsid w:val="005B0A72"/>
    <w:rsid w:val="005B14CD"/>
    <w:rsid w:val="005B1C7A"/>
    <w:rsid w:val="005B3319"/>
    <w:rsid w:val="005B3C57"/>
    <w:rsid w:val="005B478D"/>
    <w:rsid w:val="005B4C9A"/>
    <w:rsid w:val="005B53ED"/>
    <w:rsid w:val="005B7BC3"/>
    <w:rsid w:val="005C08FD"/>
    <w:rsid w:val="005C19FF"/>
    <w:rsid w:val="005C1C32"/>
    <w:rsid w:val="005C274A"/>
    <w:rsid w:val="005C3865"/>
    <w:rsid w:val="005C3983"/>
    <w:rsid w:val="005C4C31"/>
    <w:rsid w:val="005C4FBE"/>
    <w:rsid w:val="005C555E"/>
    <w:rsid w:val="005C6CC5"/>
    <w:rsid w:val="005C6D3B"/>
    <w:rsid w:val="005D01B0"/>
    <w:rsid w:val="005D21CD"/>
    <w:rsid w:val="005D2FF6"/>
    <w:rsid w:val="005D37F8"/>
    <w:rsid w:val="005D38AE"/>
    <w:rsid w:val="005D482A"/>
    <w:rsid w:val="005D4C97"/>
    <w:rsid w:val="005D6F6F"/>
    <w:rsid w:val="005E1688"/>
    <w:rsid w:val="005E1B7B"/>
    <w:rsid w:val="005E1CBF"/>
    <w:rsid w:val="005E4856"/>
    <w:rsid w:val="005E55E5"/>
    <w:rsid w:val="005E73A0"/>
    <w:rsid w:val="005E7D05"/>
    <w:rsid w:val="005F0F6C"/>
    <w:rsid w:val="005F1B3F"/>
    <w:rsid w:val="005F1E7A"/>
    <w:rsid w:val="005F272D"/>
    <w:rsid w:val="005F28DF"/>
    <w:rsid w:val="005F329F"/>
    <w:rsid w:val="005F338D"/>
    <w:rsid w:val="005F3A5E"/>
    <w:rsid w:val="005F3AA6"/>
    <w:rsid w:val="005F4BC4"/>
    <w:rsid w:val="005F4EAF"/>
    <w:rsid w:val="005F5362"/>
    <w:rsid w:val="005F5743"/>
    <w:rsid w:val="005F5AA2"/>
    <w:rsid w:val="005F64F8"/>
    <w:rsid w:val="005F6FA6"/>
    <w:rsid w:val="00600384"/>
    <w:rsid w:val="00600999"/>
    <w:rsid w:val="006019C0"/>
    <w:rsid w:val="00602F5E"/>
    <w:rsid w:val="006038EC"/>
    <w:rsid w:val="00603B8B"/>
    <w:rsid w:val="00606424"/>
    <w:rsid w:val="00607A8A"/>
    <w:rsid w:val="00610932"/>
    <w:rsid w:val="00610C21"/>
    <w:rsid w:val="00611513"/>
    <w:rsid w:val="006116C4"/>
    <w:rsid w:val="00611724"/>
    <w:rsid w:val="00612290"/>
    <w:rsid w:val="00612D37"/>
    <w:rsid w:val="0061482F"/>
    <w:rsid w:val="0061600C"/>
    <w:rsid w:val="006167D4"/>
    <w:rsid w:val="00616DE4"/>
    <w:rsid w:val="00617BF9"/>
    <w:rsid w:val="00617D89"/>
    <w:rsid w:val="00617FB7"/>
    <w:rsid w:val="00622DEB"/>
    <w:rsid w:val="00623D86"/>
    <w:rsid w:val="006248DE"/>
    <w:rsid w:val="00626E4C"/>
    <w:rsid w:val="006308A9"/>
    <w:rsid w:val="0063153F"/>
    <w:rsid w:val="00632465"/>
    <w:rsid w:val="00633757"/>
    <w:rsid w:val="00634182"/>
    <w:rsid w:val="006347F4"/>
    <w:rsid w:val="006348F3"/>
    <w:rsid w:val="0063510F"/>
    <w:rsid w:val="00635F6A"/>
    <w:rsid w:val="006369A1"/>
    <w:rsid w:val="00636C4F"/>
    <w:rsid w:val="006376A4"/>
    <w:rsid w:val="00640816"/>
    <w:rsid w:val="0064176C"/>
    <w:rsid w:val="00641C68"/>
    <w:rsid w:val="00642E57"/>
    <w:rsid w:val="006432C4"/>
    <w:rsid w:val="006557C5"/>
    <w:rsid w:val="006560DD"/>
    <w:rsid w:val="00656CBD"/>
    <w:rsid w:val="00657ACD"/>
    <w:rsid w:val="00660AC4"/>
    <w:rsid w:val="00660D17"/>
    <w:rsid w:val="00661DA2"/>
    <w:rsid w:val="00662D83"/>
    <w:rsid w:val="0066486C"/>
    <w:rsid w:val="00664FCE"/>
    <w:rsid w:val="00665356"/>
    <w:rsid w:val="0066554C"/>
    <w:rsid w:val="0066661E"/>
    <w:rsid w:val="00667193"/>
    <w:rsid w:val="00671048"/>
    <w:rsid w:val="00672260"/>
    <w:rsid w:val="006723C8"/>
    <w:rsid w:val="00672846"/>
    <w:rsid w:val="00674773"/>
    <w:rsid w:val="00675F96"/>
    <w:rsid w:val="00676364"/>
    <w:rsid w:val="00677098"/>
    <w:rsid w:val="00677DDB"/>
    <w:rsid w:val="006801AF"/>
    <w:rsid w:val="00681820"/>
    <w:rsid w:val="00681EBE"/>
    <w:rsid w:val="0068290D"/>
    <w:rsid w:val="0068291A"/>
    <w:rsid w:val="0068315D"/>
    <w:rsid w:val="006834D1"/>
    <w:rsid w:val="00684436"/>
    <w:rsid w:val="00690093"/>
    <w:rsid w:val="00691195"/>
    <w:rsid w:val="006915DA"/>
    <w:rsid w:val="006921D3"/>
    <w:rsid w:val="0069251A"/>
    <w:rsid w:val="006938C6"/>
    <w:rsid w:val="00693FA6"/>
    <w:rsid w:val="006949D4"/>
    <w:rsid w:val="00694DA2"/>
    <w:rsid w:val="00695C06"/>
    <w:rsid w:val="00696889"/>
    <w:rsid w:val="006969D8"/>
    <w:rsid w:val="00697322"/>
    <w:rsid w:val="00697A64"/>
    <w:rsid w:val="006A13F3"/>
    <w:rsid w:val="006A169C"/>
    <w:rsid w:val="006A3543"/>
    <w:rsid w:val="006A428C"/>
    <w:rsid w:val="006A47AA"/>
    <w:rsid w:val="006A492A"/>
    <w:rsid w:val="006A4C12"/>
    <w:rsid w:val="006A578A"/>
    <w:rsid w:val="006A7354"/>
    <w:rsid w:val="006B051E"/>
    <w:rsid w:val="006B0EAB"/>
    <w:rsid w:val="006B1D96"/>
    <w:rsid w:val="006B23A8"/>
    <w:rsid w:val="006B2FC6"/>
    <w:rsid w:val="006B34DB"/>
    <w:rsid w:val="006B460A"/>
    <w:rsid w:val="006B5475"/>
    <w:rsid w:val="006B58CB"/>
    <w:rsid w:val="006B6380"/>
    <w:rsid w:val="006B66EA"/>
    <w:rsid w:val="006B7505"/>
    <w:rsid w:val="006B7C9C"/>
    <w:rsid w:val="006C26A2"/>
    <w:rsid w:val="006C4AC8"/>
    <w:rsid w:val="006C57AC"/>
    <w:rsid w:val="006C589C"/>
    <w:rsid w:val="006C5B3D"/>
    <w:rsid w:val="006C6713"/>
    <w:rsid w:val="006C67C2"/>
    <w:rsid w:val="006C6FF3"/>
    <w:rsid w:val="006C790C"/>
    <w:rsid w:val="006C7932"/>
    <w:rsid w:val="006C7A74"/>
    <w:rsid w:val="006C7F38"/>
    <w:rsid w:val="006D1146"/>
    <w:rsid w:val="006D1C55"/>
    <w:rsid w:val="006D365D"/>
    <w:rsid w:val="006D36A9"/>
    <w:rsid w:val="006D4E8F"/>
    <w:rsid w:val="006D66B9"/>
    <w:rsid w:val="006D7203"/>
    <w:rsid w:val="006D76E0"/>
    <w:rsid w:val="006E020E"/>
    <w:rsid w:val="006E11AF"/>
    <w:rsid w:val="006E1A28"/>
    <w:rsid w:val="006E2774"/>
    <w:rsid w:val="006E3252"/>
    <w:rsid w:val="006E32F1"/>
    <w:rsid w:val="006E340F"/>
    <w:rsid w:val="006E387A"/>
    <w:rsid w:val="006E4503"/>
    <w:rsid w:val="006E4E04"/>
    <w:rsid w:val="006E549B"/>
    <w:rsid w:val="006E5D83"/>
    <w:rsid w:val="006E66AE"/>
    <w:rsid w:val="006E749B"/>
    <w:rsid w:val="006E7B61"/>
    <w:rsid w:val="006F0526"/>
    <w:rsid w:val="006F0BBA"/>
    <w:rsid w:val="006F0CFE"/>
    <w:rsid w:val="006F0F28"/>
    <w:rsid w:val="006F13E1"/>
    <w:rsid w:val="006F1ADA"/>
    <w:rsid w:val="006F2FAD"/>
    <w:rsid w:val="006F3861"/>
    <w:rsid w:val="006F3BF0"/>
    <w:rsid w:val="006F4ACA"/>
    <w:rsid w:val="006F5091"/>
    <w:rsid w:val="006F5F6D"/>
    <w:rsid w:val="006F6331"/>
    <w:rsid w:val="006F74C3"/>
    <w:rsid w:val="00700032"/>
    <w:rsid w:val="00700460"/>
    <w:rsid w:val="00700754"/>
    <w:rsid w:val="00702B1C"/>
    <w:rsid w:val="00702D3A"/>
    <w:rsid w:val="00703201"/>
    <w:rsid w:val="00706314"/>
    <w:rsid w:val="00706AD1"/>
    <w:rsid w:val="00710F4C"/>
    <w:rsid w:val="007127F9"/>
    <w:rsid w:val="00712A4A"/>
    <w:rsid w:val="00713179"/>
    <w:rsid w:val="00716A62"/>
    <w:rsid w:val="00716BCF"/>
    <w:rsid w:val="0071726E"/>
    <w:rsid w:val="0071761A"/>
    <w:rsid w:val="0072228F"/>
    <w:rsid w:val="00722C84"/>
    <w:rsid w:val="00723447"/>
    <w:rsid w:val="00724D0C"/>
    <w:rsid w:val="00724DFC"/>
    <w:rsid w:val="00725A57"/>
    <w:rsid w:val="00725A89"/>
    <w:rsid w:val="00725B69"/>
    <w:rsid w:val="00730939"/>
    <w:rsid w:val="007313BA"/>
    <w:rsid w:val="00731E8B"/>
    <w:rsid w:val="00734C42"/>
    <w:rsid w:val="00737EE7"/>
    <w:rsid w:val="00737F61"/>
    <w:rsid w:val="00740C45"/>
    <w:rsid w:val="0074165C"/>
    <w:rsid w:val="00744026"/>
    <w:rsid w:val="007451AE"/>
    <w:rsid w:val="00746272"/>
    <w:rsid w:val="00746639"/>
    <w:rsid w:val="007470DB"/>
    <w:rsid w:val="00747EC7"/>
    <w:rsid w:val="007510E4"/>
    <w:rsid w:val="007521AE"/>
    <w:rsid w:val="00753641"/>
    <w:rsid w:val="00754171"/>
    <w:rsid w:val="007541FD"/>
    <w:rsid w:val="00754FED"/>
    <w:rsid w:val="00755C88"/>
    <w:rsid w:val="00757750"/>
    <w:rsid w:val="00757BA3"/>
    <w:rsid w:val="00760239"/>
    <w:rsid w:val="00760D88"/>
    <w:rsid w:val="00761393"/>
    <w:rsid w:val="00761793"/>
    <w:rsid w:val="007620A1"/>
    <w:rsid w:val="00765309"/>
    <w:rsid w:val="007668E6"/>
    <w:rsid w:val="00770446"/>
    <w:rsid w:val="00770E21"/>
    <w:rsid w:val="00775072"/>
    <w:rsid w:val="0077591A"/>
    <w:rsid w:val="00775B02"/>
    <w:rsid w:val="00782DA4"/>
    <w:rsid w:val="00783233"/>
    <w:rsid w:val="0078376E"/>
    <w:rsid w:val="00783E1D"/>
    <w:rsid w:val="00784CDB"/>
    <w:rsid w:val="00785179"/>
    <w:rsid w:val="0078587E"/>
    <w:rsid w:val="00785B4C"/>
    <w:rsid w:val="00785BAC"/>
    <w:rsid w:val="007900D2"/>
    <w:rsid w:val="00792419"/>
    <w:rsid w:val="007927E7"/>
    <w:rsid w:val="00793B0B"/>
    <w:rsid w:val="00793DA3"/>
    <w:rsid w:val="0079568C"/>
    <w:rsid w:val="00796782"/>
    <w:rsid w:val="0079686D"/>
    <w:rsid w:val="00797E74"/>
    <w:rsid w:val="007A08DD"/>
    <w:rsid w:val="007A0CE2"/>
    <w:rsid w:val="007A2C26"/>
    <w:rsid w:val="007A2F98"/>
    <w:rsid w:val="007A3A2E"/>
    <w:rsid w:val="007A411E"/>
    <w:rsid w:val="007A4EFD"/>
    <w:rsid w:val="007A527A"/>
    <w:rsid w:val="007A57D5"/>
    <w:rsid w:val="007A5BDB"/>
    <w:rsid w:val="007A6486"/>
    <w:rsid w:val="007A6608"/>
    <w:rsid w:val="007A6939"/>
    <w:rsid w:val="007B09B7"/>
    <w:rsid w:val="007B1C81"/>
    <w:rsid w:val="007B2C04"/>
    <w:rsid w:val="007B3482"/>
    <w:rsid w:val="007B3D6D"/>
    <w:rsid w:val="007B47E3"/>
    <w:rsid w:val="007B5319"/>
    <w:rsid w:val="007B5532"/>
    <w:rsid w:val="007B5F06"/>
    <w:rsid w:val="007B6943"/>
    <w:rsid w:val="007B6AE7"/>
    <w:rsid w:val="007C0CA3"/>
    <w:rsid w:val="007C2C83"/>
    <w:rsid w:val="007C3DE3"/>
    <w:rsid w:val="007C4ADC"/>
    <w:rsid w:val="007C58A7"/>
    <w:rsid w:val="007C7642"/>
    <w:rsid w:val="007C7954"/>
    <w:rsid w:val="007D1FC0"/>
    <w:rsid w:val="007D3AF0"/>
    <w:rsid w:val="007D5872"/>
    <w:rsid w:val="007D5C6A"/>
    <w:rsid w:val="007D5FB5"/>
    <w:rsid w:val="007D7DA4"/>
    <w:rsid w:val="007E083C"/>
    <w:rsid w:val="007E102C"/>
    <w:rsid w:val="007E499B"/>
    <w:rsid w:val="007F0CC7"/>
    <w:rsid w:val="007F0ECA"/>
    <w:rsid w:val="007F228C"/>
    <w:rsid w:val="007F2905"/>
    <w:rsid w:val="007F2BE6"/>
    <w:rsid w:val="007F2DDB"/>
    <w:rsid w:val="007F3097"/>
    <w:rsid w:val="007F6AFA"/>
    <w:rsid w:val="00800021"/>
    <w:rsid w:val="00800F75"/>
    <w:rsid w:val="008018C9"/>
    <w:rsid w:val="00803863"/>
    <w:rsid w:val="008038BF"/>
    <w:rsid w:val="00803B89"/>
    <w:rsid w:val="008041F9"/>
    <w:rsid w:val="00804FAD"/>
    <w:rsid w:val="008050AE"/>
    <w:rsid w:val="0080545D"/>
    <w:rsid w:val="008056E5"/>
    <w:rsid w:val="00805CF2"/>
    <w:rsid w:val="00805DDE"/>
    <w:rsid w:val="008060CC"/>
    <w:rsid w:val="00806208"/>
    <w:rsid w:val="008068A5"/>
    <w:rsid w:val="00807DE1"/>
    <w:rsid w:val="00810274"/>
    <w:rsid w:val="008112CF"/>
    <w:rsid w:val="008118A3"/>
    <w:rsid w:val="00811AF3"/>
    <w:rsid w:val="00811D6E"/>
    <w:rsid w:val="0081201B"/>
    <w:rsid w:val="0081220E"/>
    <w:rsid w:val="00813028"/>
    <w:rsid w:val="008133E8"/>
    <w:rsid w:val="008134B5"/>
    <w:rsid w:val="00814454"/>
    <w:rsid w:val="00814B3F"/>
    <w:rsid w:val="008157AA"/>
    <w:rsid w:val="008169E4"/>
    <w:rsid w:val="00817285"/>
    <w:rsid w:val="008172BB"/>
    <w:rsid w:val="0081753B"/>
    <w:rsid w:val="00821830"/>
    <w:rsid w:val="008237DE"/>
    <w:rsid w:val="00824525"/>
    <w:rsid w:val="008251B8"/>
    <w:rsid w:val="0082604A"/>
    <w:rsid w:val="00826432"/>
    <w:rsid w:val="008266C3"/>
    <w:rsid w:val="00826EDE"/>
    <w:rsid w:val="008271E7"/>
    <w:rsid w:val="00827273"/>
    <w:rsid w:val="00827A66"/>
    <w:rsid w:val="00830518"/>
    <w:rsid w:val="008331CC"/>
    <w:rsid w:val="00833FE3"/>
    <w:rsid w:val="008348AD"/>
    <w:rsid w:val="0083762A"/>
    <w:rsid w:val="00837AD9"/>
    <w:rsid w:val="00840560"/>
    <w:rsid w:val="00842ED7"/>
    <w:rsid w:val="00844102"/>
    <w:rsid w:val="00844D34"/>
    <w:rsid w:val="00844F19"/>
    <w:rsid w:val="00845AC6"/>
    <w:rsid w:val="00845F3C"/>
    <w:rsid w:val="008464D7"/>
    <w:rsid w:val="00851D2A"/>
    <w:rsid w:val="008550A4"/>
    <w:rsid w:val="00857FC3"/>
    <w:rsid w:val="00862099"/>
    <w:rsid w:val="00862CA5"/>
    <w:rsid w:val="008636BF"/>
    <w:rsid w:val="0086474D"/>
    <w:rsid w:val="0086649E"/>
    <w:rsid w:val="00866630"/>
    <w:rsid w:val="00866853"/>
    <w:rsid w:val="008705F3"/>
    <w:rsid w:val="008714F5"/>
    <w:rsid w:val="00874CE0"/>
    <w:rsid w:val="0087630C"/>
    <w:rsid w:val="00876412"/>
    <w:rsid w:val="00876857"/>
    <w:rsid w:val="00876F10"/>
    <w:rsid w:val="008779A9"/>
    <w:rsid w:val="00877C4B"/>
    <w:rsid w:val="00880656"/>
    <w:rsid w:val="00882BB0"/>
    <w:rsid w:val="00884F81"/>
    <w:rsid w:val="00885E79"/>
    <w:rsid w:val="008860B0"/>
    <w:rsid w:val="00886181"/>
    <w:rsid w:val="008868A9"/>
    <w:rsid w:val="00886938"/>
    <w:rsid w:val="00886EEB"/>
    <w:rsid w:val="00887CFD"/>
    <w:rsid w:val="008900CA"/>
    <w:rsid w:val="00891595"/>
    <w:rsid w:val="00892DC9"/>
    <w:rsid w:val="008938CA"/>
    <w:rsid w:val="00893CC4"/>
    <w:rsid w:val="008947E8"/>
    <w:rsid w:val="00894BE4"/>
    <w:rsid w:val="00894DEC"/>
    <w:rsid w:val="00894F7C"/>
    <w:rsid w:val="008969DD"/>
    <w:rsid w:val="00897151"/>
    <w:rsid w:val="008A026C"/>
    <w:rsid w:val="008A2063"/>
    <w:rsid w:val="008A2506"/>
    <w:rsid w:val="008A25C4"/>
    <w:rsid w:val="008A5058"/>
    <w:rsid w:val="008A60B3"/>
    <w:rsid w:val="008B1CEF"/>
    <w:rsid w:val="008B28C0"/>
    <w:rsid w:val="008B3C9F"/>
    <w:rsid w:val="008C029D"/>
    <w:rsid w:val="008C05B6"/>
    <w:rsid w:val="008C2307"/>
    <w:rsid w:val="008C2B6B"/>
    <w:rsid w:val="008C33F8"/>
    <w:rsid w:val="008C54C0"/>
    <w:rsid w:val="008C6E7C"/>
    <w:rsid w:val="008C7FE9"/>
    <w:rsid w:val="008D0FEC"/>
    <w:rsid w:val="008D15D1"/>
    <w:rsid w:val="008D2235"/>
    <w:rsid w:val="008D2A4C"/>
    <w:rsid w:val="008D4CCF"/>
    <w:rsid w:val="008D4D55"/>
    <w:rsid w:val="008D62AA"/>
    <w:rsid w:val="008D69BA"/>
    <w:rsid w:val="008E0E32"/>
    <w:rsid w:val="008E2859"/>
    <w:rsid w:val="008E3329"/>
    <w:rsid w:val="008E49DB"/>
    <w:rsid w:val="008E4C98"/>
    <w:rsid w:val="008E4DFD"/>
    <w:rsid w:val="008E6A0E"/>
    <w:rsid w:val="008E7AE3"/>
    <w:rsid w:val="008F18B5"/>
    <w:rsid w:val="008F2FBF"/>
    <w:rsid w:val="008F5289"/>
    <w:rsid w:val="008F5417"/>
    <w:rsid w:val="008F5ADD"/>
    <w:rsid w:val="008F5CDF"/>
    <w:rsid w:val="008F6CEC"/>
    <w:rsid w:val="008F6E98"/>
    <w:rsid w:val="008F73EA"/>
    <w:rsid w:val="00900E81"/>
    <w:rsid w:val="009012FA"/>
    <w:rsid w:val="0090147E"/>
    <w:rsid w:val="00904433"/>
    <w:rsid w:val="0090475E"/>
    <w:rsid w:val="00905732"/>
    <w:rsid w:val="009066D5"/>
    <w:rsid w:val="00906E50"/>
    <w:rsid w:val="00911594"/>
    <w:rsid w:val="0091195A"/>
    <w:rsid w:val="00912207"/>
    <w:rsid w:val="00912C15"/>
    <w:rsid w:val="00913A66"/>
    <w:rsid w:val="00914B7F"/>
    <w:rsid w:val="00920B1F"/>
    <w:rsid w:val="009211D9"/>
    <w:rsid w:val="00922654"/>
    <w:rsid w:val="00924260"/>
    <w:rsid w:val="00924FCD"/>
    <w:rsid w:val="00925BFF"/>
    <w:rsid w:val="0093087D"/>
    <w:rsid w:val="00932536"/>
    <w:rsid w:val="00932FFE"/>
    <w:rsid w:val="00933256"/>
    <w:rsid w:val="00935528"/>
    <w:rsid w:val="00937CDE"/>
    <w:rsid w:val="00943B23"/>
    <w:rsid w:val="00943CBC"/>
    <w:rsid w:val="00944F10"/>
    <w:rsid w:val="00946FB0"/>
    <w:rsid w:val="00947165"/>
    <w:rsid w:val="009478D0"/>
    <w:rsid w:val="00950544"/>
    <w:rsid w:val="0095084A"/>
    <w:rsid w:val="00951265"/>
    <w:rsid w:val="0095130B"/>
    <w:rsid w:val="009516FF"/>
    <w:rsid w:val="00954971"/>
    <w:rsid w:val="00954D33"/>
    <w:rsid w:val="00955E9F"/>
    <w:rsid w:val="009569A0"/>
    <w:rsid w:val="009570A4"/>
    <w:rsid w:val="009631C9"/>
    <w:rsid w:val="009642B3"/>
    <w:rsid w:val="00966584"/>
    <w:rsid w:val="00966672"/>
    <w:rsid w:val="00966DD0"/>
    <w:rsid w:val="00967AD5"/>
    <w:rsid w:val="00971DD9"/>
    <w:rsid w:val="00971FD4"/>
    <w:rsid w:val="00974B93"/>
    <w:rsid w:val="00974DC1"/>
    <w:rsid w:val="009817E4"/>
    <w:rsid w:val="0098521C"/>
    <w:rsid w:val="009852B5"/>
    <w:rsid w:val="00986ECA"/>
    <w:rsid w:val="00987549"/>
    <w:rsid w:val="009904D2"/>
    <w:rsid w:val="00990591"/>
    <w:rsid w:val="00990B81"/>
    <w:rsid w:val="00990C91"/>
    <w:rsid w:val="00992151"/>
    <w:rsid w:val="00994435"/>
    <w:rsid w:val="009965C3"/>
    <w:rsid w:val="00997CA3"/>
    <w:rsid w:val="009A0C5A"/>
    <w:rsid w:val="009A2910"/>
    <w:rsid w:val="009A36F6"/>
    <w:rsid w:val="009A5F64"/>
    <w:rsid w:val="009A6BE7"/>
    <w:rsid w:val="009A6C73"/>
    <w:rsid w:val="009A7E81"/>
    <w:rsid w:val="009A7FC7"/>
    <w:rsid w:val="009B17DC"/>
    <w:rsid w:val="009B17F1"/>
    <w:rsid w:val="009B1F78"/>
    <w:rsid w:val="009B2669"/>
    <w:rsid w:val="009B2DDC"/>
    <w:rsid w:val="009B41FC"/>
    <w:rsid w:val="009B4AD8"/>
    <w:rsid w:val="009B556A"/>
    <w:rsid w:val="009B63E1"/>
    <w:rsid w:val="009B661F"/>
    <w:rsid w:val="009B6D97"/>
    <w:rsid w:val="009B7B72"/>
    <w:rsid w:val="009C137E"/>
    <w:rsid w:val="009C1CB8"/>
    <w:rsid w:val="009C1E78"/>
    <w:rsid w:val="009C32A1"/>
    <w:rsid w:val="009C3858"/>
    <w:rsid w:val="009C4B17"/>
    <w:rsid w:val="009C4C7E"/>
    <w:rsid w:val="009C661D"/>
    <w:rsid w:val="009C71F8"/>
    <w:rsid w:val="009D0FF5"/>
    <w:rsid w:val="009D1764"/>
    <w:rsid w:val="009D21F9"/>
    <w:rsid w:val="009D2C77"/>
    <w:rsid w:val="009D479D"/>
    <w:rsid w:val="009D4C96"/>
    <w:rsid w:val="009D5095"/>
    <w:rsid w:val="009D649C"/>
    <w:rsid w:val="009E0A95"/>
    <w:rsid w:val="009E1CE9"/>
    <w:rsid w:val="009E2411"/>
    <w:rsid w:val="009E356E"/>
    <w:rsid w:val="009E3854"/>
    <w:rsid w:val="009E5990"/>
    <w:rsid w:val="009E6C38"/>
    <w:rsid w:val="009E7176"/>
    <w:rsid w:val="009F0F09"/>
    <w:rsid w:val="009F114E"/>
    <w:rsid w:val="009F18C3"/>
    <w:rsid w:val="009F1AEA"/>
    <w:rsid w:val="009F21A1"/>
    <w:rsid w:val="009F3214"/>
    <w:rsid w:val="009F3ADE"/>
    <w:rsid w:val="009F4143"/>
    <w:rsid w:val="009F5A8F"/>
    <w:rsid w:val="009F5EC0"/>
    <w:rsid w:val="009F6E84"/>
    <w:rsid w:val="009F70AD"/>
    <w:rsid w:val="00A0079E"/>
    <w:rsid w:val="00A0264A"/>
    <w:rsid w:val="00A03093"/>
    <w:rsid w:val="00A031A7"/>
    <w:rsid w:val="00A03806"/>
    <w:rsid w:val="00A05134"/>
    <w:rsid w:val="00A07DD9"/>
    <w:rsid w:val="00A11114"/>
    <w:rsid w:val="00A1299A"/>
    <w:rsid w:val="00A12C14"/>
    <w:rsid w:val="00A14294"/>
    <w:rsid w:val="00A14B48"/>
    <w:rsid w:val="00A16442"/>
    <w:rsid w:val="00A1697D"/>
    <w:rsid w:val="00A16E12"/>
    <w:rsid w:val="00A205FD"/>
    <w:rsid w:val="00A21342"/>
    <w:rsid w:val="00A2242F"/>
    <w:rsid w:val="00A22B33"/>
    <w:rsid w:val="00A2671F"/>
    <w:rsid w:val="00A271B4"/>
    <w:rsid w:val="00A3058F"/>
    <w:rsid w:val="00A30FC9"/>
    <w:rsid w:val="00A343D0"/>
    <w:rsid w:val="00A34F40"/>
    <w:rsid w:val="00A35191"/>
    <w:rsid w:val="00A35B96"/>
    <w:rsid w:val="00A35C4D"/>
    <w:rsid w:val="00A36A6A"/>
    <w:rsid w:val="00A36DD1"/>
    <w:rsid w:val="00A3716D"/>
    <w:rsid w:val="00A3799A"/>
    <w:rsid w:val="00A40DFC"/>
    <w:rsid w:val="00A41A94"/>
    <w:rsid w:val="00A41FD1"/>
    <w:rsid w:val="00A420E5"/>
    <w:rsid w:val="00A43D5A"/>
    <w:rsid w:val="00A46FA9"/>
    <w:rsid w:val="00A478FD"/>
    <w:rsid w:val="00A50050"/>
    <w:rsid w:val="00A50BBC"/>
    <w:rsid w:val="00A53ADE"/>
    <w:rsid w:val="00A55CC6"/>
    <w:rsid w:val="00A55F92"/>
    <w:rsid w:val="00A57BB4"/>
    <w:rsid w:val="00A602FF"/>
    <w:rsid w:val="00A62A6B"/>
    <w:rsid w:val="00A62B5C"/>
    <w:rsid w:val="00A62EA5"/>
    <w:rsid w:val="00A636FF"/>
    <w:rsid w:val="00A6381D"/>
    <w:rsid w:val="00A649F7"/>
    <w:rsid w:val="00A65B3C"/>
    <w:rsid w:val="00A669DD"/>
    <w:rsid w:val="00A66A9A"/>
    <w:rsid w:val="00A67129"/>
    <w:rsid w:val="00A70A19"/>
    <w:rsid w:val="00A71AF1"/>
    <w:rsid w:val="00A724A5"/>
    <w:rsid w:val="00A72796"/>
    <w:rsid w:val="00A72DD7"/>
    <w:rsid w:val="00A74013"/>
    <w:rsid w:val="00A75594"/>
    <w:rsid w:val="00A76B72"/>
    <w:rsid w:val="00A77843"/>
    <w:rsid w:val="00A849AE"/>
    <w:rsid w:val="00A853B5"/>
    <w:rsid w:val="00A85539"/>
    <w:rsid w:val="00A858A0"/>
    <w:rsid w:val="00A86AE4"/>
    <w:rsid w:val="00A87339"/>
    <w:rsid w:val="00A91987"/>
    <w:rsid w:val="00A93C83"/>
    <w:rsid w:val="00A94428"/>
    <w:rsid w:val="00A95635"/>
    <w:rsid w:val="00A95F40"/>
    <w:rsid w:val="00AA0814"/>
    <w:rsid w:val="00AA0BEB"/>
    <w:rsid w:val="00AA13C6"/>
    <w:rsid w:val="00AA16DE"/>
    <w:rsid w:val="00AA35D5"/>
    <w:rsid w:val="00AA3E11"/>
    <w:rsid w:val="00AA4002"/>
    <w:rsid w:val="00AA4480"/>
    <w:rsid w:val="00AA4DFC"/>
    <w:rsid w:val="00AA5D4B"/>
    <w:rsid w:val="00AA663D"/>
    <w:rsid w:val="00AA66AD"/>
    <w:rsid w:val="00AA6F68"/>
    <w:rsid w:val="00AA7F96"/>
    <w:rsid w:val="00AB0128"/>
    <w:rsid w:val="00AB0E51"/>
    <w:rsid w:val="00AB2E92"/>
    <w:rsid w:val="00AB34D0"/>
    <w:rsid w:val="00AB3CA5"/>
    <w:rsid w:val="00AB4268"/>
    <w:rsid w:val="00AB5566"/>
    <w:rsid w:val="00AB5B88"/>
    <w:rsid w:val="00AB5E4E"/>
    <w:rsid w:val="00AB7B53"/>
    <w:rsid w:val="00AC0256"/>
    <w:rsid w:val="00AC045C"/>
    <w:rsid w:val="00AC0491"/>
    <w:rsid w:val="00AC2590"/>
    <w:rsid w:val="00AC377F"/>
    <w:rsid w:val="00AC383B"/>
    <w:rsid w:val="00AC7E76"/>
    <w:rsid w:val="00AD0807"/>
    <w:rsid w:val="00AD0D93"/>
    <w:rsid w:val="00AD2C79"/>
    <w:rsid w:val="00AD2FD0"/>
    <w:rsid w:val="00AD4F62"/>
    <w:rsid w:val="00AD58B7"/>
    <w:rsid w:val="00AD5B13"/>
    <w:rsid w:val="00AD5C93"/>
    <w:rsid w:val="00AD7361"/>
    <w:rsid w:val="00AE1A65"/>
    <w:rsid w:val="00AE1B3C"/>
    <w:rsid w:val="00AE2539"/>
    <w:rsid w:val="00AE33A0"/>
    <w:rsid w:val="00AE5B00"/>
    <w:rsid w:val="00AE5BC5"/>
    <w:rsid w:val="00AE652A"/>
    <w:rsid w:val="00AE66F4"/>
    <w:rsid w:val="00AE6FE0"/>
    <w:rsid w:val="00AE7CB7"/>
    <w:rsid w:val="00AF024D"/>
    <w:rsid w:val="00AF07A2"/>
    <w:rsid w:val="00AF0B1C"/>
    <w:rsid w:val="00AF11AE"/>
    <w:rsid w:val="00AF18E7"/>
    <w:rsid w:val="00AF2876"/>
    <w:rsid w:val="00AF28D0"/>
    <w:rsid w:val="00AF4E43"/>
    <w:rsid w:val="00AF52ED"/>
    <w:rsid w:val="00AF5C07"/>
    <w:rsid w:val="00AF5D5A"/>
    <w:rsid w:val="00AF6204"/>
    <w:rsid w:val="00AF751A"/>
    <w:rsid w:val="00AF7A79"/>
    <w:rsid w:val="00B01EC3"/>
    <w:rsid w:val="00B01FE7"/>
    <w:rsid w:val="00B020B9"/>
    <w:rsid w:val="00B026F8"/>
    <w:rsid w:val="00B03131"/>
    <w:rsid w:val="00B03AE7"/>
    <w:rsid w:val="00B04495"/>
    <w:rsid w:val="00B05837"/>
    <w:rsid w:val="00B05D4D"/>
    <w:rsid w:val="00B069D5"/>
    <w:rsid w:val="00B07679"/>
    <w:rsid w:val="00B076D0"/>
    <w:rsid w:val="00B07F99"/>
    <w:rsid w:val="00B1016E"/>
    <w:rsid w:val="00B10B53"/>
    <w:rsid w:val="00B11F24"/>
    <w:rsid w:val="00B12A56"/>
    <w:rsid w:val="00B13508"/>
    <w:rsid w:val="00B13846"/>
    <w:rsid w:val="00B141AF"/>
    <w:rsid w:val="00B15397"/>
    <w:rsid w:val="00B17891"/>
    <w:rsid w:val="00B20807"/>
    <w:rsid w:val="00B22BFD"/>
    <w:rsid w:val="00B22C2A"/>
    <w:rsid w:val="00B23617"/>
    <w:rsid w:val="00B23EEE"/>
    <w:rsid w:val="00B24B37"/>
    <w:rsid w:val="00B25FD2"/>
    <w:rsid w:val="00B26729"/>
    <w:rsid w:val="00B30ADA"/>
    <w:rsid w:val="00B31A68"/>
    <w:rsid w:val="00B33667"/>
    <w:rsid w:val="00B337EB"/>
    <w:rsid w:val="00B3510E"/>
    <w:rsid w:val="00B35A02"/>
    <w:rsid w:val="00B36165"/>
    <w:rsid w:val="00B37474"/>
    <w:rsid w:val="00B40577"/>
    <w:rsid w:val="00B41251"/>
    <w:rsid w:val="00B41597"/>
    <w:rsid w:val="00B42A2B"/>
    <w:rsid w:val="00B42CA0"/>
    <w:rsid w:val="00B43775"/>
    <w:rsid w:val="00B4465E"/>
    <w:rsid w:val="00B4510B"/>
    <w:rsid w:val="00B45D74"/>
    <w:rsid w:val="00B468B2"/>
    <w:rsid w:val="00B4690A"/>
    <w:rsid w:val="00B46BE2"/>
    <w:rsid w:val="00B5235F"/>
    <w:rsid w:val="00B52721"/>
    <w:rsid w:val="00B52D32"/>
    <w:rsid w:val="00B52D9D"/>
    <w:rsid w:val="00B54491"/>
    <w:rsid w:val="00B54A2E"/>
    <w:rsid w:val="00B5644F"/>
    <w:rsid w:val="00B57308"/>
    <w:rsid w:val="00B61D09"/>
    <w:rsid w:val="00B62B59"/>
    <w:rsid w:val="00B63B5F"/>
    <w:rsid w:val="00B6464E"/>
    <w:rsid w:val="00B64814"/>
    <w:rsid w:val="00B654A8"/>
    <w:rsid w:val="00B65BDB"/>
    <w:rsid w:val="00B71517"/>
    <w:rsid w:val="00B71BF8"/>
    <w:rsid w:val="00B721F0"/>
    <w:rsid w:val="00B756FC"/>
    <w:rsid w:val="00B7627A"/>
    <w:rsid w:val="00B76CAD"/>
    <w:rsid w:val="00B76DA8"/>
    <w:rsid w:val="00B801E8"/>
    <w:rsid w:val="00B80255"/>
    <w:rsid w:val="00B802F3"/>
    <w:rsid w:val="00B80546"/>
    <w:rsid w:val="00B822FE"/>
    <w:rsid w:val="00B82686"/>
    <w:rsid w:val="00B832F5"/>
    <w:rsid w:val="00B83E7E"/>
    <w:rsid w:val="00B84057"/>
    <w:rsid w:val="00B84DAE"/>
    <w:rsid w:val="00B850DA"/>
    <w:rsid w:val="00B865F0"/>
    <w:rsid w:val="00B87519"/>
    <w:rsid w:val="00B9061F"/>
    <w:rsid w:val="00B91D2D"/>
    <w:rsid w:val="00B92C13"/>
    <w:rsid w:val="00B93580"/>
    <w:rsid w:val="00B93E33"/>
    <w:rsid w:val="00B94262"/>
    <w:rsid w:val="00B944C9"/>
    <w:rsid w:val="00B94588"/>
    <w:rsid w:val="00B94E19"/>
    <w:rsid w:val="00B96836"/>
    <w:rsid w:val="00B9760B"/>
    <w:rsid w:val="00B9778C"/>
    <w:rsid w:val="00B97F28"/>
    <w:rsid w:val="00BA0A93"/>
    <w:rsid w:val="00BA0D09"/>
    <w:rsid w:val="00BA2131"/>
    <w:rsid w:val="00BA2D25"/>
    <w:rsid w:val="00BA4831"/>
    <w:rsid w:val="00BA582A"/>
    <w:rsid w:val="00BA616F"/>
    <w:rsid w:val="00BA7707"/>
    <w:rsid w:val="00BA7F17"/>
    <w:rsid w:val="00BB13B4"/>
    <w:rsid w:val="00BB1CFC"/>
    <w:rsid w:val="00BB21E7"/>
    <w:rsid w:val="00BB324D"/>
    <w:rsid w:val="00BB35D4"/>
    <w:rsid w:val="00BB5291"/>
    <w:rsid w:val="00BB6B52"/>
    <w:rsid w:val="00BC025C"/>
    <w:rsid w:val="00BC04BE"/>
    <w:rsid w:val="00BC1C1D"/>
    <w:rsid w:val="00BC2D87"/>
    <w:rsid w:val="00BC3429"/>
    <w:rsid w:val="00BC6D56"/>
    <w:rsid w:val="00BD003F"/>
    <w:rsid w:val="00BD1706"/>
    <w:rsid w:val="00BD1FB6"/>
    <w:rsid w:val="00BD2EC4"/>
    <w:rsid w:val="00BD36AC"/>
    <w:rsid w:val="00BD4ED0"/>
    <w:rsid w:val="00BD5428"/>
    <w:rsid w:val="00BD71B2"/>
    <w:rsid w:val="00BD7597"/>
    <w:rsid w:val="00BE0209"/>
    <w:rsid w:val="00BE0E68"/>
    <w:rsid w:val="00BE2A41"/>
    <w:rsid w:val="00BE2B72"/>
    <w:rsid w:val="00BE2B74"/>
    <w:rsid w:val="00BE362B"/>
    <w:rsid w:val="00BE4F40"/>
    <w:rsid w:val="00BE537E"/>
    <w:rsid w:val="00BE58C8"/>
    <w:rsid w:val="00BE59CE"/>
    <w:rsid w:val="00BE5FDD"/>
    <w:rsid w:val="00BE6ED8"/>
    <w:rsid w:val="00BE76FB"/>
    <w:rsid w:val="00BF08A7"/>
    <w:rsid w:val="00BF0A04"/>
    <w:rsid w:val="00BF112B"/>
    <w:rsid w:val="00BF4FC7"/>
    <w:rsid w:val="00BF5583"/>
    <w:rsid w:val="00BF6A05"/>
    <w:rsid w:val="00BF6E59"/>
    <w:rsid w:val="00BF767E"/>
    <w:rsid w:val="00BF7F5E"/>
    <w:rsid w:val="00C024F1"/>
    <w:rsid w:val="00C044E4"/>
    <w:rsid w:val="00C04B3B"/>
    <w:rsid w:val="00C055AD"/>
    <w:rsid w:val="00C06691"/>
    <w:rsid w:val="00C06DB8"/>
    <w:rsid w:val="00C10452"/>
    <w:rsid w:val="00C110A8"/>
    <w:rsid w:val="00C1131D"/>
    <w:rsid w:val="00C11EDB"/>
    <w:rsid w:val="00C1217C"/>
    <w:rsid w:val="00C12310"/>
    <w:rsid w:val="00C12665"/>
    <w:rsid w:val="00C1446C"/>
    <w:rsid w:val="00C15B9E"/>
    <w:rsid w:val="00C16836"/>
    <w:rsid w:val="00C173A0"/>
    <w:rsid w:val="00C21BED"/>
    <w:rsid w:val="00C21E63"/>
    <w:rsid w:val="00C226C3"/>
    <w:rsid w:val="00C22C1F"/>
    <w:rsid w:val="00C244B0"/>
    <w:rsid w:val="00C2549D"/>
    <w:rsid w:val="00C25538"/>
    <w:rsid w:val="00C26AA3"/>
    <w:rsid w:val="00C3046F"/>
    <w:rsid w:val="00C3107D"/>
    <w:rsid w:val="00C318A0"/>
    <w:rsid w:val="00C31C9B"/>
    <w:rsid w:val="00C33396"/>
    <w:rsid w:val="00C33C8F"/>
    <w:rsid w:val="00C33D91"/>
    <w:rsid w:val="00C36950"/>
    <w:rsid w:val="00C36BCB"/>
    <w:rsid w:val="00C36EF2"/>
    <w:rsid w:val="00C37643"/>
    <w:rsid w:val="00C40D70"/>
    <w:rsid w:val="00C41F73"/>
    <w:rsid w:val="00C4391B"/>
    <w:rsid w:val="00C448EB"/>
    <w:rsid w:val="00C449A4"/>
    <w:rsid w:val="00C44B6C"/>
    <w:rsid w:val="00C450E8"/>
    <w:rsid w:val="00C45C83"/>
    <w:rsid w:val="00C45CB0"/>
    <w:rsid w:val="00C46A23"/>
    <w:rsid w:val="00C46CD3"/>
    <w:rsid w:val="00C472C3"/>
    <w:rsid w:val="00C51675"/>
    <w:rsid w:val="00C517F2"/>
    <w:rsid w:val="00C52F3F"/>
    <w:rsid w:val="00C5394E"/>
    <w:rsid w:val="00C53A10"/>
    <w:rsid w:val="00C53D08"/>
    <w:rsid w:val="00C545D1"/>
    <w:rsid w:val="00C56E89"/>
    <w:rsid w:val="00C609F3"/>
    <w:rsid w:val="00C6129D"/>
    <w:rsid w:val="00C6170A"/>
    <w:rsid w:val="00C61E5B"/>
    <w:rsid w:val="00C62047"/>
    <w:rsid w:val="00C635AE"/>
    <w:rsid w:val="00C63BBF"/>
    <w:rsid w:val="00C6498A"/>
    <w:rsid w:val="00C65C72"/>
    <w:rsid w:val="00C7325A"/>
    <w:rsid w:val="00C73F6B"/>
    <w:rsid w:val="00C74E04"/>
    <w:rsid w:val="00C75118"/>
    <w:rsid w:val="00C76469"/>
    <w:rsid w:val="00C76F9A"/>
    <w:rsid w:val="00C8004C"/>
    <w:rsid w:val="00C80100"/>
    <w:rsid w:val="00C80372"/>
    <w:rsid w:val="00C81C54"/>
    <w:rsid w:val="00C81EF5"/>
    <w:rsid w:val="00C82B6E"/>
    <w:rsid w:val="00C82BAF"/>
    <w:rsid w:val="00C85AD5"/>
    <w:rsid w:val="00C865B0"/>
    <w:rsid w:val="00C8694F"/>
    <w:rsid w:val="00C86D27"/>
    <w:rsid w:val="00C86FE5"/>
    <w:rsid w:val="00C871B6"/>
    <w:rsid w:val="00C90B0B"/>
    <w:rsid w:val="00C9496A"/>
    <w:rsid w:val="00C95A6C"/>
    <w:rsid w:val="00C9771F"/>
    <w:rsid w:val="00C97F71"/>
    <w:rsid w:val="00CA12CA"/>
    <w:rsid w:val="00CA15A6"/>
    <w:rsid w:val="00CA1D9B"/>
    <w:rsid w:val="00CA27D5"/>
    <w:rsid w:val="00CA36D5"/>
    <w:rsid w:val="00CA47D3"/>
    <w:rsid w:val="00CA62C9"/>
    <w:rsid w:val="00CA6828"/>
    <w:rsid w:val="00CB0200"/>
    <w:rsid w:val="00CB1268"/>
    <w:rsid w:val="00CB40ED"/>
    <w:rsid w:val="00CB6228"/>
    <w:rsid w:val="00CB7D12"/>
    <w:rsid w:val="00CC01C4"/>
    <w:rsid w:val="00CC2409"/>
    <w:rsid w:val="00CC579E"/>
    <w:rsid w:val="00CC64EE"/>
    <w:rsid w:val="00CC6DDB"/>
    <w:rsid w:val="00CC730D"/>
    <w:rsid w:val="00CC74EE"/>
    <w:rsid w:val="00CD4D8D"/>
    <w:rsid w:val="00CD73A3"/>
    <w:rsid w:val="00CD7A4A"/>
    <w:rsid w:val="00CD7DB0"/>
    <w:rsid w:val="00CE007F"/>
    <w:rsid w:val="00CE029D"/>
    <w:rsid w:val="00CE0FE4"/>
    <w:rsid w:val="00CE1A23"/>
    <w:rsid w:val="00CE25AB"/>
    <w:rsid w:val="00CE3264"/>
    <w:rsid w:val="00CE3A6E"/>
    <w:rsid w:val="00CE573E"/>
    <w:rsid w:val="00CE6B21"/>
    <w:rsid w:val="00CE6E6F"/>
    <w:rsid w:val="00CE7BEC"/>
    <w:rsid w:val="00CF0427"/>
    <w:rsid w:val="00CF0C1F"/>
    <w:rsid w:val="00CF1017"/>
    <w:rsid w:val="00CF1582"/>
    <w:rsid w:val="00CF24FF"/>
    <w:rsid w:val="00CF312F"/>
    <w:rsid w:val="00CF5705"/>
    <w:rsid w:val="00CF58FC"/>
    <w:rsid w:val="00CF67B8"/>
    <w:rsid w:val="00CF6D4A"/>
    <w:rsid w:val="00D0265E"/>
    <w:rsid w:val="00D03A35"/>
    <w:rsid w:val="00D03FD5"/>
    <w:rsid w:val="00D03FFE"/>
    <w:rsid w:val="00D0479D"/>
    <w:rsid w:val="00D0516A"/>
    <w:rsid w:val="00D07737"/>
    <w:rsid w:val="00D11C07"/>
    <w:rsid w:val="00D125C1"/>
    <w:rsid w:val="00D13571"/>
    <w:rsid w:val="00D13669"/>
    <w:rsid w:val="00D15ED4"/>
    <w:rsid w:val="00D163C6"/>
    <w:rsid w:val="00D17520"/>
    <w:rsid w:val="00D177BA"/>
    <w:rsid w:val="00D17BF4"/>
    <w:rsid w:val="00D17C28"/>
    <w:rsid w:val="00D200E9"/>
    <w:rsid w:val="00D22DBB"/>
    <w:rsid w:val="00D23874"/>
    <w:rsid w:val="00D23D38"/>
    <w:rsid w:val="00D267A8"/>
    <w:rsid w:val="00D27A24"/>
    <w:rsid w:val="00D30397"/>
    <w:rsid w:val="00D30FCD"/>
    <w:rsid w:val="00D32591"/>
    <w:rsid w:val="00D326AC"/>
    <w:rsid w:val="00D33042"/>
    <w:rsid w:val="00D339A8"/>
    <w:rsid w:val="00D33C19"/>
    <w:rsid w:val="00D33C43"/>
    <w:rsid w:val="00D362AA"/>
    <w:rsid w:val="00D36B8E"/>
    <w:rsid w:val="00D37CA5"/>
    <w:rsid w:val="00D4227A"/>
    <w:rsid w:val="00D427B1"/>
    <w:rsid w:val="00D43702"/>
    <w:rsid w:val="00D441C4"/>
    <w:rsid w:val="00D446A6"/>
    <w:rsid w:val="00D45D8C"/>
    <w:rsid w:val="00D46CC0"/>
    <w:rsid w:val="00D47A42"/>
    <w:rsid w:val="00D50138"/>
    <w:rsid w:val="00D50238"/>
    <w:rsid w:val="00D50959"/>
    <w:rsid w:val="00D51775"/>
    <w:rsid w:val="00D521C1"/>
    <w:rsid w:val="00D527BA"/>
    <w:rsid w:val="00D53E27"/>
    <w:rsid w:val="00D5405B"/>
    <w:rsid w:val="00D556F4"/>
    <w:rsid w:val="00D563CE"/>
    <w:rsid w:val="00D575C6"/>
    <w:rsid w:val="00D57F73"/>
    <w:rsid w:val="00D60E1F"/>
    <w:rsid w:val="00D62408"/>
    <w:rsid w:val="00D629E8"/>
    <w:rsid w:val="00D65748"/>
    <w:rsid w:val="00D659BB"/>
    <w:rsid w:val="00D670C2"/>
    <w:rsid w:val="00D67BD5"/>
    <w:rsid w:val="00D7039C"/>
    <w:rsid w:val="00D70B90"/>
    <w:rsid w:val="00D7156C"/>
    <w:rsid w:val="00D71D37"/>
    <w:rsid w:val="00D7211C"/>
    <w:rsid w:val="00D725E3"/>
    <w:rsid w:val="00D74151"/>
    <w:rsid w:val="00D741C8"/>
    <w:rsid w:val="00D7440C"/>
    <w:rsid w:val="00D74DD0"/>
    <w:rsid w:val="00D752CB"/>
    <w:rsid w:val="00D7538D"/>
    <w:rsid w:val="00D75E71"/>
    <w:rsid w:val="00D766B1"/>
    <w:rsid w:val="00D778D7"/>
    <w:rsid w:val="00D80418"/>
    <w:rsid w:val="00D81A32"/>
    <w:rsid w:val="00D81EB5"/>
    <w:rsid w:val="00D82173"/>
    <w:rsid w:val="00D86608"/>
    <w:rsid w:val="00D86BFC"/>
    <w:rsid w:val="00D904D9"/>
    <w:rsid w:val="00D91718"/>
    <w:rsid w:val="00D92BC9"/>
    <w:rsid w:val="00D93D84"/>
    <w:rsid w:val="00D95EAB"/>
    <w:rsid w:val="00D963A3"/>
    <w:rsid w:val="00D96427"/>
    <w:rsid w:val="00D96C2E"/>
    <w:rsid w:val="00D96EA2"/>
    <w:rsid w:val="00DA0049"/>
    <w:rsid w:val="00DA211C"/>
    <w:rsid w:val="00DA2129"/>
    <w:rsid w:val="00DA29EC"/>
    <w:rsid w:val="00DA4183"/>
    <w:rsid w:val="00DA44F5"/>
    <w:rsid w:val="00DA5A64"/>
    <w:rsid w:val="00DA667F"/>
    <w:rsid w:val="00DA7AFA"/>
    <w:rsid w:val="00DB096C"/>
    <w:rsid w:val="00DB1077"/>
    <w:rsid w:val="00DB167E"/>
    <w:rsid w:val="00DB1D97"/>
    <w:rsid w:val="00DB3F8D"/>
    <w:rsid w:val="00DB476B"/>
    <w:rsid w:val="00DB5D85"/>
    <w:rsid w:val="00DB66A2"/>
    <w:rsid w:val="00DB7139"/>
    <w:rsid w:val="00DC01C0"/>
    <w:rsid w:val="00DC0641"/>
    <w:rsid w:val="00DC1E72"/>
    <w:rsid w:val="00DC1ECF"/>
    <w:rsid w:val="00DC2C87"/>
    <w:rsid w:val="00DC409C"/>
    <w:rsid w:val="00DC53C9"/>
    <w:rsid w:val="00DC5F81"/>
    <w:rsid w:val="00DC7419"/>
    <w:rsid w:val="00DD0595"/>
    <w:rsid w:val="00DD0896"/>
    <w:rsid w:val="00DD45FF"/>
    <w:rsid w:val="00DD5574"/>
    <w:rsid w:val="00DD5A95"/>
    <w:rsid w:val="00DD6771"/>
    <w:rsid w:val="00DE0BE1"/>
    <w:rsid w:val="00DE17D5"/>
    <w:rsid w:val="00DE2229"/>
    <w:rsid w:val="00DE27BB"/>
    <w:rsid w:val="00DE2823"/>
    <w:rsid w:val="00DE3CDE"/>
    <w:rsid w:val="00DE4D99"/>
    <w:rsid w:val="00DE71F8"/>
    <w:rsid w:val="00DF0020"/>
    <w:rsid w:val="00DF1D1C"/>
    <w:rsid w:val="00DF217F"/>
    <w:rsid w:val="00DF2BF7"/>
    <w:rsid w:val="00DF4623"/>
    <w:rsid w:val="00DF4AC7"/>
    <w:rsid w:val="00DF5B97"/>
    <w:rsid w:val="00DF6173"/>
    <w:rsid w:val="00DF668C"/>
    <w:rsid w:val="00DF7C7C"/>
    <w:rsid w:val="00DF7E9B"/>
    <w:rsid w:val="00E0061C"/>
    <w:rsid w:val="00E01337"/>
    <w:rsid w:val="00E026C7"/>
    <w:rsid w:val="00E03144"/>
    <w:rsid w:val="00E03990"/>
    <w:rsid w:val="00E03D44"/>
    <w:rsid w:val="00E04824"/>
    <w:rsid w:val="00E1021E"/>
    <w:rsid w:val="00E13373"/>
    <w:rsid w:val="00E15753"/>
    <w:rsid w:val="00E17909"/>
    <w:rsid w:val="00E2222A"/>
    <w:rsid w:val="00E22785"/>
    <w:rsid w:val="00E25E1D"/>
    <w:rsid w:val="00E304A6"/>
    <w:rsid w:val="00E30BBA"/>
    <w:rsid w:val="00E31EB6"/>
    <w:rsid w:val="00E32D0F"/>
    <w:rsid w:val="00E34E49"/>
    <w:rsid w:val="00E352FC"/>
    <w:rsid w:val="00E35301"/>
    <w:rsid w:val="00E359CE"/>
    <w:rsid w:val="00E368CB"/>
    <w:rsid w:val="00E4034B"/>
    <w:rsid w:val="00E40A8D"/>
    <w:rsid w:val="00E40C7E"/>
    <w:rsid w:val="00E41014"/>
    <w:rsid w:val="00E4377C"/>
    <w:rsid w:val="00E468BC"/>
    <w:rsid w:val="00E471D8"/>
    <w:rsid w:val="00E479BD"/>
    <w:rsid w:val="00E5103A"/>
    <w:rsid w:val="00E51923"/>
    <w:rsid w:val="00E55F71"/>
    <w:rsid w:val="00E570E6"/>
    <w:rsid w:val="00E57EF8"/>
    <w:rsid w:val="00E622FE"/>
    <w:rsid w:val="00E633F9"/>
    <w:rsid w:val="00E66245"/>
    <w:rsid w:val="00E70083"/>
    <w:rsid w:val="00E70823"/>
    <w:rsid w:val="00E70927"/>
    <w:rsid w:val="00E7177E"/>
    <w:rsid w:val="00E73ACA"/>
    <w:rsid w:val="00E743D7"/>
    <w:rsid w:val="00E74E59"/>
    <w:rsid w:val="00E8087A"/>
    <w:rsid w:val="00E80BB8"/>
    <w:rsid w:val="00E81459"/>
    <w:rsid w:val="00E82AEC"/>
    <w:rsid w:val="00E82EE3"/>
    <w:rsid w:val="00E83D40"/>
    <w:rsid w:val="00E8430A"/>
    <w:rsid w:val="00E8470B"/>
    <w:rsid w:val="00E8473B"/>
    <w:rsid w:val="00E84EF1"/>
    <w:rsid w:val="00E85172"/>
    <w:rsid w:val="00E87C36"/>
    <w:rsid w:val="00E9135E"/>
    <w:rsid w:val="00E9203D"/>
    <w:rsid w:val="00E93718"/>
    <w:rsid w:val="00E93F4A"/>
    <w:rsid w:val="00E94577"/>
    <w:rsid w:val="00E9660D"/>
    <w:rsid w:val="00E96B37"/>
    <w:rsid w:val="00E974BF"/>
    <w:rsid w:val="00EA042E"/>
    <w:rsid w:val="00EA3D87"/>
    <w:rsid w:val="00EA6523"/>
    <w:rsid w:val="00EA6EA4"/>
    <w:rsid w:val="00EB0355"/>
    <w:rsid w:val="00EB20A8"/>
    <w:rsid w:val="00EB21A6"/>
    <w:rsid w:val="00EB26B1"/>
    <w:rsid w:val="00EB28B8"/>
    <w:rsid w:val="00EB3B92"/>
    <w:rsid w:val="00EB40C1"/>
    <w:rsid w:val="00EB59B8"/>
    <w:rsid w:val="00EB6B77"/>
    <w:rsid w:val="00EB74CF"/>
    <w:rsid w:val="00EC251F"/>
    <w:rsid w:val="00EC27F8"/>
    <w:rsid w:val="00EC3089"/>
    <w:rsid w:val="00EC3344"/>
    <w:rsid w:val="00EC432D"/>
    <w:rsid w:val="00EC5E09"/>
    <w:rsid w:val="00EC5F42"/>
    <w:rsid w:val="00EC64FB"/>
    <w:rsid w:val="00EC7DF0"/>
    <w:rsid w:val="00ED12D2"/>
    <w:rsid w:val="00ED218A"/>
    <w:rsid w:val="00ED2F5C"/>
    <w:rsid w:val="00ED3CAD"/>
    <w:rsid w:val="00ED451E"/>
    <w:rsid w:val="00ED4725"/>
    <w:rsid w:val="00ED4C86"/>
    <w:rsid w:val="00ED579A"/>
    <w:rsid w:val="00ED6B14"/>
    <w:rsid w:val="00ED6D43"/>
    <w:rsid w:val="00ED6FFC"/>
    <w:rsid w:val="00ED7264"/>
    <w:rsid w:val="00EE0505"/>
    <w:rsid w:val="00EE17B2"/>
    <w:rsid w:val="00EE33C9"/>
    <w:rsid w:val="00EE453B"/>
    <w:rsid w:val="00EE5BB5"/>
    <w:rsid w:val="00EE71AD"/>
    <w:rsid w:val="00EF01A7"/>
    <w:rsid w:val="00EF09B7"/>
    <w:rsid w:val="00EF0E14"/>
    <w:rsid w:val="00EF11E0"/>
    <w:rsid w:val="00EF1322"/>
    <w:rsid w:val="00EF365C"/>
    <w:rsid w:val="00EF481C"/>
    <w:rsid w:val="00EF4D46"/>
    <w:rsid w:val="00EF54D4"/>
    <w:rsid w:val="00EF62DA"/>
    <w:rsid w:val="00F0015A"/>
    <w:rsid w:val="00F0167F"/>
    <w:rsid w:val="00F02098"/>
    <w:rsid w:val="00F02CE3"/>
    <w:rsid w:val="00F075D5"/>
    <w:rsid w:val="00F10689"/>
    <w:rsid w:val="00F1097D"/>
    <w:rsid w:val="00F119C0"/>
    <w:rsid w:val="00F12266"/>
    <w:rsid w:val="00F14D2C"/>
    <w:rsid w:val="00F14ED8"/>
    <w:rsid w:val="00F164D7"/>
    <w:rsid w:val="00F20C6B"/>
    <w:rsid w:val="00F216CC"/>
    <w:rsid w:val="00F21EF8"/>
    <w:rsid w:val="00F224A4"/>
    <w:rsid w:val="00F233C1"/>
    <w:rsid w:val="00F24845"/>
    <w:rsid w:val="00F248C5"/>
    <w:rsid w:val="00F24BFB"/>
    <w:rsid w:val="00F25CC0"/>
    <w:rsid w:val="00F26D5F"/>
    <w:rsid w:val="00F26EF4"/>
    <w:rsid w:val="00F271A6"/>
    <w:rsid w:val="00F272C8"/>
    <w:rsid w:val="00F27742"/>
    <w:rsid w:val="00F278A1"/>
    <w:rsid w:val="00F319AD"/>
    <w:rsid w:val="00F31F62"/>
    <w:rsid w:val="00F3200A"/>
    <w:rsid w:val="00F32128"/>
    <w:rsid w:val="00F34B77"/>
    <w:rsid w:val="00F364C7"/>
    <w:rsid w:val="00F37242"/>
    <w:rsid w:val="00F376EA"/>
    <w:rsid w:val="00F407EF"/>
    <w:rsid w:val="00F40CB2"/>
    <w:rsid w:val="00F4334C"/>
    <w:rsid w:val="00F458C6"/>
    <w:rsid w:val="00F50862"/>
    <w:rsid w:val="00F51C26"/>
    <w:rsid w:val="00F5211B"/>
    <w:rsid w:val="00F52349"/>
    <w:rsid w:val="00F52676"/>
    <w:rsid w:val="00F5281F"/>
    <w:rsid w:val="00F53CA3"/>
    <w:rsid w:val="00F551D7"/>
    <w:rsid w:val="00F559AB"/>
    <w:rsid w:val="00F57BD7"/>
    <w:rsid w:val="00F57DD0"/>
    <w:rsid w:val="00F62A0D"/>
    <w:rsid w:val="00F62ED8"/>
    <w:rsid w:val="00F63997"/>
    <w:rsid w:val="00F6428C"/>
    <w:rsid w:val="00F64814"/>
    <w:rsid w:val="00F653F6"/>
    <w:rsid w:val="00F6643A"/>
    <w:rsid w:val="00F66AEE"/>
    <w:rsid w:val="00F66E90"/>
    <w:rsid w:val="00F7129A"/>
    <w:rsid w:val="00F72E43"/>
    <w:rsid w:val="00F72E93"/>
    <w:rsid w:val="00F74755"/>
    <w:rsid w:val="00F76897"/>
    <w:rsid w:val="00F8000C"/>
    <w:rsid w:val="00F805AE"/>
    <w:rsid w:val="00F82C87"/>
    <w:rsid w:val="00F84013"/>
    <w:rsid w:val="00F84088"/>
    <w:rsid w:val="00F8422F"/>
    <w:rsid w:val="00F84518"/>
    <w:rsid w:val="00F85A0D"/>
    <w:rsid w:val="00F8661A"/>
    <w:rsid w:val="00F86D6A"/>
    <w:rsid w:val="00F86FB5"/>
    <w:rsid w:val="00F87181"/>
    <w:rsid w:val="00F878BA"/>
    <w:rsid w:val="00F87C14"/>
    <w:rsid w:val="00F87D54"/>
    <w:rsid w:val="00F90D63"/>
    <w:rsid w:val="00F90E4D"/>
    <w:rsid w:val="00F92790"/>
    <w:rsid w:val="00F95181"/>
    <w:rsid w:val="00F96324"/>
    <w:rsid w:val="00F963AC"/>
    <w:rsid w:val="00F967EF"/>
    <w:rsid w:val="00F9713B"/>
    <w:rsid w:val="00FA04C2"/>
    <w:rsid w:val="00FA125C"/>
    <w:rsid w:val="00FA1FB3"/>
    <w:rsid w:val="00FA24D2"/>
    <w:rsid w:val="00FA2D8F"/>
    <w:rsid w:val="00FA3465"/>
    <w:rsid w:val="00FA44E7"/>
    <w:rsid w:val="00FA575A"/>
    <w:rsid w:val="00FA5FC0"/>
    <w:rsid w:val="00FA6353"/>
    <w:rsid w:val="00FA6534"/>
    <w:rsid w:val="00FA691B"/>
    <w:rsid w:val="00FA6B6B"/>
    <w:rsid w:val="00FA6EBC"/>
    <w:rsid w:val="00FA7323"/>
    <w:rsid w:val="00FB166D"/>
    <w:rsid w:val="00FB2521"/>
    <w:rsid w:val="00FB2C5D"/>
    <w:rsid w:val="00FB3168"/>
    <w:rsid w:val="00FB3A1E"/>
    <w:rsid w:val="00FB4819"/>
    <w:rsid w:val="00FB5727"/>
    <w:rsid w:val="00FB6271"/>
    <w:rsid w:val="00FB6C5E"/>
    <w:rsid w:val="00FB76CD"/>
    <w:rsid w:val="00FC059D"/>
    <w:rsid w:val="00FC0EAF"/>
    <w:rsid w:val="00FC0EDB"/>
    <w:rsid w:val="00FC1053"/>
    <w:rsid w:val="00FC14E7"/>
    <w:rsid w:val="00FC19FA"/>
    <w:rsid w:val="00FC1E00"/>
    <w:rsid w:val="00FC3338"/>
    <w:rsid w:val="00FC3C18"/>
    <w:rsid w:val="00FC4313"/>
    <w:rsid w:val="00FC4C43"/>
    <w:rsid w:val="00FC4E8A"/>
    <w:rsid w:val="00FC60F0"/>
    <w:rsid w:val="00FC613C"/>
    <w:rsid w:val="00FD014A"/>
    <w:rsid w:val="00FD027C"/>
    <w:rsid w:val="00FD0973"/>
    <w:rsid w:val="00FD132A"/>
    <w:rsid w:val="00FD2674"/>
    <w:rsid w:val="00FD3506"/>
    <w:rsid w:val="00FD626F"/>
    <w:rsid w:val="00FE1518"/>
    <w:rsid w:val="00FE16E1"/>
    <w:rsid w:val="00FE1B71"/>
    <w:rsid w:val="00FE1E6F"/>
    <w:rsid w:val="00FE290A"/>
    <w:rsid w:val="00FE3A64"/>
    <w:rsid w:val="00FE40E6"/>
    <w:rsid w:val="00FE4ADD"/>
    <w:rsid w:val="00FE4F65"/>
    <w:rsid w:val="00FE5550"/>
    <w:rsid w:val="00FE60F8"/>
    <w:rsid w:val="00FE6C4B"/>
    <w:rsid w:val="00FF02D4"/>
    <w:rsid w:val="00FF0AE0"/>
    <w:rsid w:val="00FF4659"/>
    <w:rsid w:val="00FF47FB"/>
    <w:rsid w:val="00FF5127"/>
    <w:rsid w:val="00FF59BD"/>
    <w:rsid w:val="00FF76D9"/>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C8CA4-846F-4B15-B018-84FF49D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7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17891"/>
    <w:pPr>
      <w:spacing w:before="100" w:beforeAutospacing="1" w:after="100" w:afterAutospacing="1"/>
    </w:pPr>
    <w:rPr>
      <w:lang w:val="ru-RU" w:eastAsia="ru-RU"/>
    </w:rPr>
  </w:style>
  <w:style w:type="character" w:customStyle="1" w:styleId="normal--char">
    <w:name w:val="normal--char"/>
    <w:basedOn w:val="DefaultParagraphFont"/>
    <w:rsid w:val="00B17891"/>
  </w:style>
  <w:style w:type="character" w:customStyle="1" w:styleId="85pt">
    <w:name w:val="Основной текст + 8;5 pt;Не полужирный"/>
    <w:rsid w:val="003874D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85pt0">
    <w:name w:val="Основной текст + 8;5 pt;Не полужирный;Курсив"/>
    <w:rsid w:val="003874D4"/>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a">
    <w:name w:val="Основной текст_"/>
    <w:link w:val="1"/>
    <w:rsid w:val="003874D4"/>
    <w:rPr>
      <w:b/>
      <w:bCs/>
      <w:sz w:val="16"/>
      <w:szCs w:val="16"/>
      <w:shd w:val="clear" w:color="auto" w:fill="FFFFFF"/>
    </w:rPr>
  </w:style>
  <w:style w:type="paragraph" w:customStyle="1" w:styleId="1">
    <w:name w:val="Основной текст1"/>
    <w:basedOn w:val="Normal"/>
    <w:link w:val="a"/>
    <w:rsid w:val="003874D4"/>
    <w:pPr>
      <w:widowControl w:val="0"/>
      <w:shd w:val="clear" w:color="auto" w:fill="FFFFFF"/>
      <w:spacing w:after="180" w:line="207" w:lineRule="exact"/>
      <w:jc w:val="center"/>
    </w:pPr>
    <w:rPr>
      <w:rFonts w:asciiTheme="minorHAnsi" w:eastAsiaTheme="minorHAnsi" w:hAnsiTheme="minorHAnsi" w:cstheme="minorBidi"/>
      <w:b/>
      <w:bCs/>
      <w:sz w:val="16"/>
      <w:szCs w:val="16"/>
      <w:lang w:val="ru-RU"/>
    </w:rPr>
  </w:style>
  <w:style w:type="character" w:styleId="Hyperlink">
    <w:name w:val="Hyperlink"/>
    <w:rsid w:val="00387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doc.echr.coe.int/eng" TargetMode="External"/><Relationship Id="rId5" Type="http://schemas.openxmlformats.org/officeDocument/2006/relationships/hyperlink" Target="http://lhr.md/news/48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Diakov</cp:lastModifiedBy>
  <cp:revision>3</cp:revision>
  <dcterms:created xsi:type="dcterms:W3CDTF">2017-03-02T08:10:00Z</dcterms:created>
  <dcterms:modified xsi:type="dcterms:W3CDTF">2017-03-02T08:11:00Z</dcterms:modified>
</cp:coreProperties>
</file>