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98" w:rsidRPr="00DE378E" w:rsidRDefault="008C7C48" w:rsidP="008C7C48">
      <w:pPr>
        <w:ind w:right="-900"/>
        <w:rPr>
          <w:rFonts w:ascii="Calibri" w:hAnsi="Calibri"/>
          <w:b/>
          <w:sz w:val="18"/>
          <w:szCs w:val="18"/>
          <w:lang w:val="ro-RO"/>
        </w:rPr>
      </w:pPr>
      <w:r>
        <w:rPr>
          <w:rFonts w:ascii="Calibri" w:hAnsi="Calibri"/>
          <w:b/>
          <w:sz w:val="18"/>
          <w:szCs w:val="18"/>
          <w:lang w:val="ro-RO"/>
        </w:rPr>
        <w:t xml:space="preserve">                                                                                         </w:t>
      </w:r>
      <w:bookmarkStart w:id="0" w:name="_GoBack"/>
      <w:bookmarkEnd w:id="0"/>
      <w:r w:rsidR="00364198"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364198" w:rsidRPr="00DE378E" w:rsidRDefault="00364198" w:rsidP="008C7C48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CURTEA EUROPEANĂ A DREPTURILOR OMULUI</w:t>
      </w:r>
    </w:p>
    <w:p w:rsidR="00364198" w:rsidRPr="00DE378E" w:rsidRDefault="00364198" w:rsidP="008C7C48">
      <w:pPr>
        <w:tabs>
          <w:tab w:val="left" w:pos="11062"/>
        </w:tabs>
        <w:ind w:left="9180" w:right="-900"/>
        <w:jc w:val="center"/>
        <w:rPr>
          <w:rFonts w:ascii="Calibri" w:hAnsi="Calibri"/>
          <w:sz w:val="18"/>
          <w:szCs w:val="18"/>
          <w:lang w:val="ro-RO"/>
        </w:rPr>
      </w:pPr>
    </w:p>
    <w:p w:rsidR="00364198" w:rsidRDefault="00364198" w:rsidP="008C7C48">
      <w:pPr>
        <w:ind w:right="-900"/>
        <w:jc w:val="center"/>
        <w:rPr>
          <w:rFonts w:ascii="Calibri" w:hAnsi="Calibri"/>
          <w:b/>
          <w:sz w:val="18"/>
          <w:szCs w:val="18"/>
          <w:lang w:val="ro-RO"/>
        </w:rPr>
      </w:pPr>
    </w:p>
    <w:p w:rsidR="00364198" w:rsidRDefault="00364198" w:rsidP="008C7C48">
      <w:pPr>
        <w:ind w:right="-900"/>
        <w:jc w:val="center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364198" w:rsidRPr="00364198" w:rsidRDefault="00364198" w:rsidP="008C7C48">
      <w:pPr>
        <w:jc w:val="center"/>
        <w:rPr>
          <w:lang w:val="ro-RO"/>
        </w:rPr>
      </w:pPr>
      <w:r>
        <w:rPr>
          <w:lang w:val="ro-RO"/>
        </w:rPr>
        <w:br/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008"/>
        <w:gridCol w:w="1112"/>
        <w:gridCol w:w="4057"/>
        <w:gridCol w:w="2239"/>
        <w:gridCol w:w="4214"/>
      </w:tblGrid>
      <w:tr w:rsidR="006572D9" w:rsidRPr="00296998" w:rsidTr="00141A80">
        <w:tc>
          <w:tcPr>
            <w:tcW w:w="2130" w:type="dxa"/>
          </w:tcPr>
          <w:p w:rsidR="006572D9" w:rsidRDefault="008C7C48" w:rsidP="006572D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="006572D9"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  <w:p w:rsidR="006572D9" w:rsidRPr="00DE378E" w:rsidRDefault="006572D9" w:rsidP="006572D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008" w:type="dxa"/>
          </w:tcPr>
          <w:p w:rsidR="006572D9" w:rsidRPr="00DE378E" w:rsidRDefault="006572D9" w:rsidP="006572D9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6572D9" w:rsidRPr="00DE378E" w:rsidRDefault="006572D9" w:rsidP="006572D9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112" w:type="dxa"/>
          </w:tcPr>
          <w:p w:rsidR="006572D9" w:rsidRPr="00DE378E" w:rsidRDefault="006572D9" w:rsidP="006572D9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4057" w:type="dxa"/>
          </w:tcPr>
          <w:p w:rsidR="006572D9" w:rsidRPr="00DE378E" w:rsidRDefault="006572D9" w:rsidP="006572D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239" w:type="dxa"/>
          </w:tcPr>
          <w:p w:rsidR="006572D9" w:rsidRPr="00DE378E" w:rsidRDefault="006572D9" w:rsidP="006572D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214" w:type="dxa"/>
          </w:tcPr>
          <w:p w:rsidR="006572D9" w:rsidRPr="00DE378E" w:rsidRDefault="006572D9" w:rsidP="006572D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6572D9" w:rsidRPr="00DE378E" w:rsidRDefault="006572D9" w:rsidP="006572D9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8C7C48" w:rsidRPr="00296998" w:rsidTr="00141A80">
        <w:tc>
          <w:tcPr>
            <w:tcW w:w="2130" w:type="dxa"/>
          </w:tcPr>
          <w:p w:rsidR="008C7C48" w:rsidRPr="006B6899" w:rsidRDefault="008C7C48" w:rsidP="008C7C48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</w:pPr>
            <w:proofErr w:type="spellStart"/>
            <w:r w:rsidRPr="006B6899"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  <w:t>Manoli</w:t>
            </w:r>
            <w:proofErr w:type="spellEnd"/>
            <w:r w:rsidRPr="006B6899"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1008" w:type="dxa"/>
          </w:tcPr>
          <w:p w:rsidR="008C7C48" w:rsidRPr="006B6899" w:rsidRDefault="008C7C48" w:rsidP="008C7C48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6B6899">
              <w:rPr>
                <w:rStyle w:val="85pt"/>
                <w:rFonts w:ascii="Calibri" w:hAnsi="Calibri"/>
                <w:b w:val="0"/>
                <w:color w:val="auto"/>
                <w:sz w:val="18"/>
                <w:szCs w:val="18"/>
                <w:lang w:val="ro-RO"/>
              </w:rPr>
              <w:t>28/02/2017</w:t>
            </w:r>
          </w:p>
        </w:tc>
        <w:tc>
          <w:tcPr>
            <w:tcW w:w="1112" w:type="dxa"/>
          </w:tcPr>
          <w:p w:rsidR="008C7C48" w:rsidRPr="006B6899" w:rsidRDefault="008C7C48" w:rsidP="008C7C48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B6899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56875/11</w:t>
            </w:r>
          </w:p>
        </w:tc>
        <w:tc>
          <w:tcPr>
            <w:tcW w:w="4057" w:type="dxa"/>
          </w:tcPr>
          <w:p w:rsidR="008C7C48" w:rsidRPr="006B6899" w:rsidRDefault="008C7C48" w:rsidP="008C7C48">
            <w:pPr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  <w:r w:rsidRPr="006B689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6 CEDO</w:t>
            </w:r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 xml:space="preserve"> – casarea în apel a </w:t>
            </w:r>
            <w:proofErr w:type="spellStart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>sentinţei</w:t>
            </w:r>
            <w:proofErr w:type="spellEnd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 xml:space="preserve"> favorabile reclamantului, fără audierea victimei </w:t>
            </w:r>
            <w:proofErr w:type="spellStart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>şi</w:t>
            </w:r>
            <w:proofErr w:type="spellEnd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 xml:space="preserve"> a martorilor</w:t>
            </w:r>
            <w:r w:rsidRPr="006B689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 </w:t>
            </w:r>
          </w:p>
        </w:tc>
        <w:tc>
          <w:tcPr>
            <w:tcW w:w="2239" w:type="dxa"/>
          </w:tcPr>
          <w:p w:rsidR="008C7C48" w:rsidRPr="006B6899" w:rsidRDefault="008C7C48" w:rsidP="008C7C48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</w:pPr>
            <w:r w:rsidRPr="006B6899"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  <w:t>Suma totală – EUR 4,807</w:t>
            </w:r>
          </w:p>
          <w:p w:rsidR="008C7C48" w:rsidRPr="006B6899" w:rsidRDefault="008C7C48" w:rsidP="008C7C48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</w:pPr>
            <w:proofErr w:type="spellStart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Prejud</w:t>
            </w:r>
            <w:proofErr w:type="spellEnd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. Moral – EUR 2,000</w:t>
            </w:r>
          </w:p>
          <w:p w:rsidR="008C7C48" w:rsidRPr="006B6899" w:rsidRDefault="008C7C48" w:rsidP="008C7C48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</w:pPr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 xml:space="preserve">Costuri </w:t>
            </w:r>
            <w:proofErr w:type="spellStart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şi</w:t>
            </w:r>
            <w:proofErr w:type="spellEnd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chelt</w:t>
            </w:r>
            <w:proofErr w:type="spellEnd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. – EUR 2,807</w:t>
            </w:r>
          </w:p>
        </w:tc>
        <w:tc>
          <w:tcPr>
            <w:tcW w:w="4214" w:type="dxa"/>
          </w:tcPr>
          <w:p w:rsidR="008C7C48" w:rsidRPr="00345BAB" w:rsidRDefault="008C7C48" w:rsidP="008C7C48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 de Apel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>Chişinău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 care, la 18 ianuarie 2010, au casat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>sentinţa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 judecătoriei Buiucani din 21 mai 2009 sunt: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Gurin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Vasile,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Panov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Dionisie,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Rotarciuc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Dina.</w:t>
            </w:r>
          </w:p>
          <w:p w:rsidR="008C7C48" w:rsidRPr="00070D41" w:rsidRDefault="008C7C48" w:rsidP="008C7C48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 xml:space="preserve"> Supreme de </w:t>
            </w:r>
            <w:proofErr w:type="spellStart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>Justiţie</w:t>
            </w:r>
            <w:proofErr w:type="spellEnd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 xml:space="preserve"> care la 25 februarie 2011 au respins recursul reclamantului sunt: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8C7C48">
              <w:rPr>
                <w:rFonts w:ascii="Calibri" w:hAnsi="Calibri"/>
                <w:b/>
                <w:sz w:val="18"/>
                <w:szCs w:val="18"/>
                <w:highlight w:val="yellow"/>
                <w:lang w:val="fr-FR"/>
              </w:rPr>
              <w:t>Furdui</w:t>
            </w:r>
            <w:proofErr w:type="spellEnd"/>
            <w:r w:rsidRPr="008C7C48">
              <w:rPr>
                <w:rFonts w:ascii="Calibri" w:hAnsi="Calibri"/>
                <w:b/>
                <w:sz w:val="18"/>
                <w:szCs w:val="18"/>
                <w:highlight w:val="yellow"/>
                <w:lang w:val="fr-FR"/>
              </w:rPr>
              <w:t xml:space="preserve"> Sergiu,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>Alerguş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Constantin, 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>Covalenco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Elena, 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Arhiliuc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Ion.</w:t>
            </w:r>
          </w:p>
          <w:p w:rsidR="008C7C48" w:rsidRDefault="008C7C48" w:rsidP="008C7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judecătorul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Timofti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Vladimir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formulat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opinie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separată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).</w:t>
            </w:r>
          </w:p>
          <w:p w:rsidR="008C7C48" w:rsidRPr="00345BAB" w:rsidRDefault="008C7C48" w:rsidP="008C7C48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Judecătorii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Curţii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Supreme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Justiţie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respins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recursul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în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anulare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reclamantului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sunt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:</w:t>
            </w:r>
            <w:proofErr w:type="gramEnd"/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Gurschi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Constantin,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Gordilă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Nicolae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>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>- Adam Olga,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Harghel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Andrei,</w:t>
            </w:r>
          </w:p>
          <w:p w:rsidR="008C7C48" w:rsidRPr="006B6899" w:rsidRDefault="008C7C48" w:rsidP="008C7C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Popovici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Tudor.</w:t>
            </w:r>
          </w:p>
        </w:tc>
      </w:tr>
      <w:tr w:rsidR="006572D9" w:rsidRPr="00296998" w:rsidTr="00141A80">
        <w:tc>
          <w:tcPr>
            <w:tcW w:w="2130" w:type="dxa"/>
          </w:tcPr>
          <w:p w:rsidR="006572D9" w:rsidRDefault="006572D9" w:rsidP="006572D9">
            <w:pPr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EC7E45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Mitrofan c. Moldovei</w:t>
            </w:r>
          </w:p>
          <w:p w:rsidR="006572D9" w:rsidRPr="00EC7E45" w:rsidRDefault="006572D9" w:rsidP="006572D9">
            <w:pPr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6572D9" w:rsidRPr="00296998" w:rsidRDefault="006572D9" w:rsidP="006572D9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15/01/2013</w:t>
            </w:r>
          </w:p>
        </w:tc>
        <w:tc>
          <w:tcPr>
            <w:tcW w:w="1112" w:type="dxa"/>
          </w:tcPr>
          <w:p w:rsidR="006572D9" w:rsidRPr="00296998" w:rsidRDefault="006572D9" w:rsidP="006572D9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Arial"/>
                <w:color w:val="000000"/>
                <w:sz w:val="16"/>
                <w:szCs w:val="16"/>
                <w:shd w:val="clear" w:color="auto" w:fill="FFFFFF"/>
                <w:lang w:val="ro-RO"/>
              </w:rPr>
              <w:t>50054/07</w:t>
            </w:r>
          </w:p>
        </w:tc>
        <w:tc>
          <w:tcPr>
            <w:tcW w:w="4057" w:type="dxa"/>
          </w:tcPr>
          <w:p w:rsidR="006572D9" w:rsidRPr="00296998" w:rsidRDefault="006572D9" w:rsidP="006572D9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 detenția reclamantului în condiții inumane.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6.1 CEDO</w:t>
            </w: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 dreptul la un proces echitabil.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13 CEDO – lipsa unui remediu efectiv.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</w:tcPr>
          <w:p w:rsidR="006572D9" w:rsidRPr="00296998" w:rsidRDefault="006572D9" w:rsidP="006572D9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6,500</w:t>
            </w:r>
          </w:p>
          <w:p w:rsidR="006572D9" w:rsidRPr="00296998" w:rsidRDefault="006572D9" w:rsidP="006572D9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5,000</w:t>
            </w:r>
          </w:p>
          <w:p w:rsidR="006572D9" w:rsidRPr="00296998" w:rsidRDefault="006572D9" w:rsidP="006572D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 - EUR 1,500</w:t>
            </w:r>
          </w:p>
        </w:tc>
        <w:tc>
          <w:tcPr>
            <w:tcW w:w="4214" w:type="dxa"/>
          </w:tcPr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Hotărârea Judecătoriei Grigoriopol din 20.11.2006 privind achitarea reclamantului pe art. 352 alin. (2) și condamnarea pe art. 190 alin. (2) la 3 ani privațiune de libertate.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: Nicolae Costin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de Apel Chișinău din 08.02.2007 privind admiterea parțială a apelului, recalificând fapta drept neglijență în serviciu și fiind condamnat la 8 luni închisoare și privarea dreptului de a ocupa funcții de conducere pe un termen de 2 ani.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i: Țurcan Anatolie,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Iovu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Gheorghe,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Catan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Liliana.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Supreme de Justiție din 28.06.2007 privind casarea Hotărârii Curții de Apel Chișinău și emiterea unei noi hotărâri înlocuind pedeapsa închisorii  cu amenda.</w:t>
            </w:r>
          </w:p>
          <w:p w:rsidR="006572D9" w:rsidRPr="00296998" w:rsidRDefault="006572D9" w:rsidP="006572D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lastRenderedPageBreak/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Andrei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Harghel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Olga Adam, </w:t>
            </w:r>
            <w:r w:rsidRPr="00775E2D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 xml:space="preserve">Sergiu </w:t>
            </w:r>
            <w:proofErr w:type="spellStart"/>
            <w:r w:rsidRPr="00775E2D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Furdui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Constantin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Alerguș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, Petru Ursache</w:t>
            </w:r>
          </w:p>
          <w:p w:rsidR="006572D9" w:rsidRPr="00296998" w:rsidRDefault="006572D9" w:rsidP="006572D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</w:tbl>
    <w:tbl>
      <w:tblPr>
        <w:tblStyle w:val="TableGrid"/>
        <w:tblW w:w="147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1"/>
        <w:gridCol w:w="922"/>
        <w:gridCol w:w="738"/>
        <w:gridCol w:w="4425"/>
        <w:gridCol w:w="2239"/>
        <w:gridCol w:w="4214"/>
      </w:tblGrid>
      <w:tr w:rsidR="00364198" w:rsidRPr="00576B2B" w:rsidTr="00141A80">
        <w:tc>
          <w:tcPr>
            <w:tcW w:w="2211" w:type="dxa"/>
          </w:tcPr>
          <w:p w:rsidR="00364198" w:rsidRPr="00576B2B" w:rsidRDefault="00364198" w:rsidP="00141A80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b/>
                <w:sz w:val="17"/>
                <w:szCs w:val="17"/>
                <w:lang w:val="ro-RO"/>
              </w:rPr>
              <w:lastRenderedPageBreak/>
              <w:t>Dan v. Moldova</w:t>
            </w:r>
          </w:p>
        </w:tc>
        <w:tc>
          <w:tcPr>
            <w:tcW w:w="922" w:type="dxa"/>
          </w:tcPr>
          <w:p w:rsidR="00364198" w:rsidRPr="00576B2B" w:rsidRDefault="00364198" w:rsidP="00141A80">
            <w:pPr>
              <w:ind w:left="-108" w:right="-108"/>
              <w:jc w:val="center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05/07/2011</w:t>
            </w:r>
          </w:p>
        </w:tc>
        <w:tc>
          <w:tcPr>
            <w:tcW w:w="738" w:type="dxa"/>
          </w:tcPr>
          <w:p w:rsidR="00364198" w:rsidRPr="00576B2B" w:rsidRDefault="00364198" w:rsidP="00141A80">
            <w:pPr>
              <w:ind w:left="-144" w:right="-108"/>
              <w:jc w:val="center"/>
              <w:rPr>
                <w:rFonts w:ascii="Garamond" w:hAnsi="Garamond"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0"/>
                <w:rFonts w:ascii="Garamond" w:hAnsi="Garamond"/>
                <w:lang w:val="ro-RO"/>
              </w:rPr>
              <w:t>8999/07</w:t>
            </w:r>
          </w:p>
        </w:tc>
        <w:tc>
          <w:tcPr>
            <w:tcW w:w="4425" w:type="dxa"/>
          </w:tcPr>
          <w:p w:rsidR="00364198" w:rsidRPr="00576B2B" w:rsidRDefault="00364198" w:rsidP="00141A80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violarea art. 6 § 1 CEDO - casarea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achitarii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condamnarea reclamantului in apel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fara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audierea martorilor de către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instanta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de apel</w:t>
            </w:r>
          </w:p>
        </w:tc>
        <w:tc>
          <w:tcPr>
            <w:tcW w:w="2239" w:type="dxa"/>
          </w:tcPr>
          <w:p w:rsidR="00364198" w:rsidRPr="00576B2B" w:rsidRDefault="00364198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="Calibri" w:hAnsi="Garamond"/>
                <w:lang w:val="ro-RO"/>
              </w:rPr>
              <w:t>Suma totala - EUR</w:t>
            </w:r>
          </w:p>
          <w:p w:rsidR="00364198" w:rsidRPr="00576B2B" w:rsidRDefault="00364198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="Calibri" w:hAnsi="Garamond"/>
                <w:lang w:val="ro-RO"/>
              </w:rPr>
              <w:t>5.000</w:t>
            </w:r>
          </w:p>
          <w:p w:rsidR="00364198" w:rsidRPr="00576B2B" w:rsidRDefault="00364198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="Calibr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="Calibri" w:hAnsi="Garamond"/>
                <w:lang w:val="ro-RO"/>
              </w:rPr>
              <w:t>. moral - EUR</w:t>
            </w:r>
          </w:p>
          <w:p w:rsidR="00364198" w:rsidRPr="00576B2B" w:rsidRDefault="00364198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="Calibri" w:hAnsi="Garamond"/>
                <w:lang w:val="ro-RO"/>
              </w:rPr>
              <w:t>2.000</w:t>
            </w:r>
          </w:p>
          <w:p w:rsidR="00364198" w:rsidRPr="00576B2B" w:rsidRDefault="00364198" w:rsidP="00141A80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Cost, si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chelt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. - EUR 3,000</w:t>
            </w:r>
          </w:p>
        </w:tc>
        <w:tc>
          <w:tcPr>
            <w:tcW w:w="4214" w:type="dxa"/>
          </w:tcPr>
          <w:p w:rsidR="00364198" w:rsidRPr="00576B2B" w:rsidRDefault="00364198" w:rsidP="00141A80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Au casat sentin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a de achitare a reclamantului, judecătorul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Curtii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de Apel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Chisinau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- A. 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urcanu, Gh.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Iovu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r w:rsidRPr="00576B2B">
              <w:rPr>
                <w:sz w:val="17"/>
                <w:szCs w:val="17"/>
                <w:lang w:val="ro-RO"/>
              </w:rPr>
              <w:t>ș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L.Catană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cadrul; au respins recursul judecătorii Cur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ii Supreme de Justi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ie –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Martînenco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M.,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Alergu</w:t>
            </w:r>
            <w:r w:rsidRPr="00576B2B">
              <w:rPr>
                <w:sz w:val="17"/>
                <w:szCs w:val="17"/>
                <w:lang w:val="ro-RO"/>
              </w:rPr>
              <w:t>ș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C. </w:t>
            </w:r>
            <w:r w:rsidRPr="00576B2B">
              <w:rPr>
                <w:sz w:val="17"/>
                <w:szCs w:val="17"/>
                <w:lang w:val="ro-RO"/>
              </w:rPr>
              <w:t>ș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 </w:t>
            </w:r>
            <w:r w:rsidRPr="007A5951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 xml:space="preserve">S. </w:t>
            </w:r>
            <w:proofErr w:type="spellStart"/>
            <w:r w:rsidRPr="007A5951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Furdui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.</w:t>
            </w:r>
          </w:p>
        </w:tc>
      </w:tr>
      <w:tr w:rsidR="00364198" w:rsidRPr="00364198" w:rsidTr="00141A80">
        <w:tc>
          <w:tcPr>
            <w:tcW w:w="2211" w:type="dxa"/>
          </w:tcPr>
          <w:p w:rsidR="00364198" w:rsidRPr="00431043" w:rsidRDefault="00364198" w:rsidP="00141A80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FLUX nr. 5 c. Moldovei</w:t>
            </w:r>
          </w:p>
        </w:tc>
        <w:tc>
          <w:tcPr>
            <w:tcW w:w="922" w:type="dxa"/>
          </w:tcPr>
          <w:p w:rsidR="00364198" w:rsidRPr="00431043" w:rsidRDefault="00364198" w:rsidP="00141A80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01.07.2008</w:t>
            </w:r>
          </w:p>
        </w:tc>
        <w:tc>
          <w:tcPr>
            <w:tcW w:w="738" w:type="dxa"/>
          </w:tcPr>
          <w:p w:rsidR="00364198" w:rsidRPr="00431043" w:rsidRDefault="00364198" w:rsidP="00141A80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i/>
                <w:sz w:val="16"/>
                <w:szCs w:val="16"/>
                <w:lang w:val="ro-RO"/>
              </w:rPr>
              <w:t>17343/04</w:t>
            </w:r>
          </w:p>
        </w:tc>
        <w:tc>
          <w:tcPr>
            <w:tcW w:w="4425" w:type="dxa"/>
          </w:tcPr>
          <w:p w:rsidR="00364198" w:rsidRPr="00431043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violarea art. 10 al </w:t>
            </w:r>
            <w:proofErr w:type="spellStart"/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(libertatea de exprimare) - 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obligarea reclamantului fără o justificare suficientă să publice </w:t>
            </w:r>
            <w:proofErr w:type="spellStart"/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dezminţire</w:t>
            </w:r>
            <w:proofErr w:type="spellEnd"/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plătească </w:t>
            </w:r>
            <w:proofErr w:type="spellStart"/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compensaţii</w:t>
            </w:r>
            <w:proofErr w:type="spellEnd"/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lui Vasile SOLOMON pentru publicarea în ziarul Flux a unui articol.</w:t>
            </w:r>
          </w:p>
        </w:tc>
        <w:tc>
          <w:tcPr>
            <w:tcW w:w="2239" w:type="dxa"/>
          </w:tcPr>
          <w:p w:rsidR="00364198" w:rsidRPr="00431043" w:rsidRDefault="00364198" w:rsidP="00141A80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€ 185</w:t>
            </w:r>
          </w:p>
          <w:p w:rsidR="00364198" w:rsidRPr="00431043" w:rsidRDefault="00364198" w:rsidP="00141A80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moral.- € 3,000</w:t>
            </w:r>
          </w:p>
          <w:p w:rsidR="00364198" w:rsidRPr="00431043" w:rsidRDefault="00364198" w:rsidP="00141A80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 1,800</w:t>
            </w:r>
          </w:p>
        </w:tc>
        <w:tc>
          <w:tcPr>
            <w:tcW w:w="4214" w:type="dxa"/>
          </w:tcPr>
          <w:p w:rsidR="00364198" w:rsidRPr="00431043" w:rsidRDefault="00364198" w:rsidP="00141A80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1. A admis cererea de chemare în judecată – Petru URSACHI, judecător, Judecătoria sectorului Buiucani</w:t>
            </w:r>
            <w:r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;</w:t>
            </w:r>
          </w:p>
          <w:p w:rsidR="00364198" w:rsidRPr="00431043" w:rsidRDefault="00364198" w:rsidP="00141A80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2. Au menţinut hotărârea în apel – Iuliana SÎRCU, Ludmila POPOVA, Gheorghe CREŢU, judecători, Tribunalul Chişinău;</w:t>
            </w:r>
          </w:p>
          <w:p w:rsidR="00364198" w:rsidRPr="00431043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3. </w:t>
            </w:r>
            <w:r w:rsidRPr="00431043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Au menţinut hotărârea în recurs – Vasile PASCARI, Anastasia PASCARI, Nicolae CLIMA, </w:t>
            </w:r>
            <w:r w:rsidRPr="00AC5BB2">
              <w:rPr>
                <w:rFonts w:ascii="Garamond" w:hAnsi="Garamond"/>
                <w:noProof/>
                <w:color w:val="000000"/>
                <w:sz w:val="16"/>
                <w:szCs w:val="16"/>
                <w:highlight w:val="yellow"/>
                <w:lang w:val="ro-RO"/>
              </w:rPr>
              <w:t>Serghei FURDUI</w:t>
            </w:r>
            <w:r w:rsidRPr="00431043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, Andrei PLĂMĂDEALĂ, judecători, Curtea Supremă de Justiţie</w:t>
            </w:r>
            <w:r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.</w:t>
            </w:r>
          </w:p>
        </w:tc>
      </w:tr>
      <w:tr w:rsidR="00364198" w:rsidRPr="00130F01" w:rsidTr="00141A80">
        <w:trPr>
          <w:trHeight w:val="2597"/>
        </w:trPr>
        <w:tc>
          <w:tcPr>
            <w:tcW w:w="2211" w:type="dxa"/>
          </w:tcPr>
          <w:p w:rsidR="00364198" w:rsidRPr="00130F01" w:rsidRDefault="00364198" w:rsidP="00141A80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POPOVICI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364198" w:rsidRPr="00130F01" w:rsidRDefault="00364198" w:rsidP="00141A80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27/11/2007</w:t>
            </w:r>
          </w:p>
        </w:tc>
        <w:tc>
          <w:tcPr>
            <w:tcW w:w="738" w:type="dxa"/>
          </w:tcPr>
          <w:p w:rsidR="00364198" w:rsidRPr="00130F01" w:rsidRDefault="00364198" w:rsidP="00141A80">
            <w:pPr>
              <w:ind w:left="-144" w:right="-108"/>
              <w:jc w:val="center"/>
              <w:rPr>
                <w:rFonts w:ascii="Garamond" w:hAnsi="Garamond" w:cs="Arial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color w:val="000000"/>
                <w:sz w:val="16"/>
                <w:szCs w:val="16"/>
                <w:lang w:val="ro-RO"/>
              </w:rPr>
              <w:t xml:space="preserve">289/04 </w:t>
            </w:r>
            <w:proofErr w:type="spellStart"/>
            <w:r w:rsidRPr="00130F01">
              <w:rPr>
                <w:rFonts w:ascii="Garamond" w:hAnsi="Garamond" w:cs="Tahoma"/>
                <w:i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130F01">
              <w:rPr>
                <w:rFonts w:ascii="Garamond" w:hAnsi="Garamond" w:cs="Tahoma"/>
                <w:i/>
                <w:color w:val="000000"/>
                <w:sz w:val="16"/>
                <w:szCs w:val="16"/>
                <w:lang w:val="ro-RO"/>
              </w:rPr>
              <w:t xml:space="preserve"> 41194/04</w:t>
            </w:r>
          </w:p>
        </w:tc>
        <w:tc>
          <w:tcPr>
            <w:tcW w:w="4425" w:type="dxa"/>
          </w:tcPr>
          <w:p w:rsidR="00364198" w:rsidRPr="00130F01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3 (interzicerea torturii)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deţinerea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reclamantului în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condiţii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rele în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IDP al DGCCCO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violarea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art. 5 § 3 al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(motivarea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detenţiei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) -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detenţia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reclamantului fără motive suficiente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relevante;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violarea art. 6 § 1 al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(dreptul la un proce</w:t>
            </w:r>
            <w:r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s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echitabil) – casarea de către Curtea Supremă de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Justiţie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a unei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sentinţe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prin care reclamantul a fost achitat cu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pronunţarea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unei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sentinţe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de condamnare fără a respecta procedura prevăzută de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art. 451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art. 436 Cod de procedură penală;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violarea art. 6 § 2 al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prezumţia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nevinovăţiei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) – declararea de către Secretarul Consiliului Suprem de Securitate într-un </w:t>
            </w:r>
            <w:r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i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nterviu acordat unui ziar, până la condamnarea reclamantului de către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instanţa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de judecată, că el este vinovat de comiterea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infracţiunilor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de care era învinuit; violarea art. 13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al </w:t>
            </w:r>
            <w:proofErr w:type="spellStart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(dreptul la un recurs efectiv) –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 de a se opune violării art. 3 al </w:t>
            </w:r>
            <w:proofErr w:type="spellStart"/>
            <w:r w:rsidRPr="00130F01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239" w:type="dxa"/>
          </w:tcPr>
          <w:p w:rsidR="00364198" w:rsidRPr="00130F01" w:rsidRDefault="00364198" w:rsidP="00141A80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Moral.- € 8,000</w:t>
            </w:r>
          </w:p>
          <w:p w:rsidR="00364198" w:rsidRPr="00130F01" w:rsidRDefault="00364198" w:rsidP="00141A80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 7,500</w:t>
            </w:r>
          </w:p>
        </w:tc>
        <w:tc>
          <w:tcPr>
            <w:tcW w:w="4214" w:type="dxa"/>
          </w:tcPr>
          <w:p w:rsidR="00364198" w:rsidRPr="00130F01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Au dispus condamnarea reclamantului - Mihai PLAMADEALA, Vladimir TIMOFTI, judecători, Curtea Supremă de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Justiţie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(judecătorul </w:t>
            </w:r>
            <w:r w:rsidRPr="007A5951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Sergiu FURDUI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 avut o opinie separată, în care, în principiu, s-a expus împotriva condamnării reclamantului)</w:t>
            </w:r>
          </w:p>
          <w:p w:rsidR="00364198" w:rsidRPr="00130F01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b) a eliberat autorizat arestarea reclamantului - Silvia GÎRBU, judecător. Judecătoria Buiucani</w:t>
            </w:r>
          </w:p>
          <w:p w:rsidR="00364198" w:rsidRPr="00130F01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au respins recursurile împotriva autorizării arestării - Eugenia CONOVALI, Mihail BURUIAN, Vasile GRIB, judecători, Curtea de Apel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Chişinău</w:t>
            </w:r>
            <w:proofErr w:type="spellEnd"/>
          </w:p>
          <w:p w:rsidR="00364198" w:rsidRPr="00130F01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 făcut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declaraţii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contrare art. 6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§ 2 -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Valeriu GURBULEA, secretar, Consiliul Suprem de Securitate;</w:t>
            </w:r>
          </w:p>
          <w:p w:rsidR="00364198" w:rsidRPr="00130F01" w:rsidRDefault="00364198" w:rsidP="00141A80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e)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au determinat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detenţia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reclamantului în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condiţii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rele – Parlamentul Republicii Moldova, care nu a alocat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finanţarea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necesară pentru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întreţinerea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penitenciarului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hrana </w:t>
            </w:r>
            <w:proofErr w:type="spellStart"/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deţinuţilor</w:t>
            </w:r>
            <w:proofErr w:type="spellEnd"/>
          </w:p>
        </w:tc>
      </w:tr>
    </w:tbl>
    <w:p w:rsidR="000B5735" w:rsidRPr="00364198" w:rsidRDefault="00364198">
      <w:r>
        <w:br/>
      </w:r>
    </w:p>
    <w:sectPr w:rsidR="000B5735" w:rsidRPr="00364198" w:rsidSect="002A3CF8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8"/>
    <w:rsid w:val="00000B9F"/>
    <w:rsid w:val="00001683"/>
    <w:rsid w:val="00001B88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4453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3CF8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4198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572D9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75E2D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C7C48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C32AE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3C63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13F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55D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C7E45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B64C1-A49F-43CE-BDB4-73E49D0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75E2D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75E2D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C7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C7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styleId="TableGrid">
    <w:name w:val="Table Grid"/>
    <w:basedOn w:val="TableNormal"/>
    <w:rsid w:val="00EC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C7E45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EC7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RePack by Diakov</cp:lastModifiedBy>
  <cp:revision>5</cp:revision>
  <dcterms:created xsi:type="dcterms:W3CDTF">2018-01-10T09:21:00Z</dcterms:created>
  <dcterms:modified xsi:type="dcterms:W3CDTF">2018-01-10T09:38:00Z</dcterms:modified>
</cp:coreProperties>
</file>