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1008"/>
        <w:gridCol w:w="1112"/>
        <w:gridCol w:w="4057"/>
        <w:gridCol w:w="2239"/>
        <w:gridCol w:w="4214"/>
      </w:tblGrid>
      <w:tr w:rsidR="00685651" w:rsidRPr="00D87E06" w:rsidTr="00207CF2">
        <w:tc>
          <w:tcPr>
            <w:tcW w:w="2490" w:type="dxa"/>
          </w:tcPr>
          <w:p w:rsidR="00685651" w:rsidRPr="00FB0880" w:rsidRDefault="00685651" w:rsidP="00685651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008" w:type="dxa"/>
          </w:tcPr>
          <w:p w:rsidR="00685651" w:rsidRPr="00FB0880" w:rsidRDefault="00685651" w:rsidP="00685651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 xml:space="preserve">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adoptării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/ 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intrării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12" w:type="dxa"/>
          </w:tcPr>
          <w:p w:rsidR="00685651" w:rsidRPr="00FB0880" w:rsidRDefault="00685651" w:rsidP="00685651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057" w:type="dxa"/>
          </w:tcPr>
          <w:p w:rsidR="00685651" w:rsidRPr="00FB0880" w:rsidRDefault="00685651" w:rsidP="00685651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239" w:type="dxa"/>
          </w:tcPr>
          <w:p w:rsidR="00685651" w:rsidRPr="00FB0880" w:rsidRDefault="00685651" w:rsidP="00685651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214" w:type="dxa"/>
          </w:tcPr>
          <w:p w:rsidR="00685651" w:rsidRPr="00FB0880" w:rsidRDefault="00685651" w:rsidP="00685651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685651" w:rsidRPr="00D87E06" w:rsidTr="00207CF2">
        <w:tc>
          <w:tcPr>
            <w:tcW w:w="2490" w:type="dxa"/>
          </w:tcPr>
          <w:p w:rsidR="00685651" w:rsidRPr="00685651" w:rsidRDefault="00685651" w:rsidP="0068565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6856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O.R. </w:t>
            </w:r>
            <w:proofErr w:type="spellStart"/>
            <w:r w:rsidRPr="00685651">
              <w:rPr>
                <w:rFonts w:asciiTheme="minorHAnsi" w:hAnsiTheme="minorHAnsi" w:cstheme="minorHAnsi"/>
                <w:b/>
                <w:sz w:val="20"/>
                <w:szCs w:val="20"/>
              </w:rPr>
              <w:t>și</w:t>
            </w:r>
            <w:proofErr w:type="spellEnd"/>
            <w:r w:rsidRPr="006856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L.R.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56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contra </w:t>
            </w:r>
            <w:proofErr w:type="spellStart"/>
            <w:r w:rsidRPr="00685651">
              <w:rPr>
                <w:rFonts w:asciiTheme="minorHAnsi" w:hAnsiTheme="minorHAnsi"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08" w:type="dxa"/>
          </w:tcPr>
          <w:p w:rsidR="00685651" w:rsidRPr="00685651" w:rsidRDefault="00685651" w:rsidP="00685651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30.10.2018 30.01.2019</w:t>
            </w:r>
          </w:p>
        </w:tc>
        <w:tc>
          <w:tcPr>
            <w:tcW w:w="1112" w:type="dxa"/>
          </w:tcPr>
          <w:p w:rsidR="00685651" w:rsidRPr="00685651" w:rsidRDefault="00685651" w:rsidP="0068565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24129/11</w:t>
            </w:r>
          </w:p>
        </w:tc>
        <w:tc>
          <w:tcPr>
            <w:tcW w:w="4057" w:type="dxa"/>
          </w:tcPr>
          <w:p w:rsidR="00685651" w:rsidRPr="00685651" w:rsidRDefault="00685651" w:rsidP="0068565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Invocând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Articolul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3 din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Convenție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reclamantele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s-au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plâns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fața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relele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tratamente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la care au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fost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supuse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polițiști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incinta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Comisariatului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General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Poliție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la 7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aprilie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2009,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obligarea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acestora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dezbrace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facă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așezări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fața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mai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multor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persoane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precum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lipsa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unei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investigații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prompte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acest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sens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polițiștii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fiind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scutiți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pedeapsă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39" w:type="dxa"/>
          </w:tcPr>
          <w:p w:rsidR="00685651" w:rsidRPr="00685651" w:rsidRDefault="00685651" w:rsidP="00685651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gram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7500 euro</w:t>
            </w:r>
            <w:proofErr w:type="gram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moral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1500 euro cu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titlu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costuri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cheltuieli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14" w:type="dxa"/>
          </w:tcPr>
          <w:p w:rsidR="00685651" w:rsidRPr="00685651" w:rsidRDefault="00685651" w:rsidP="006856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Andrei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Roșca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procuror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Procuratura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neîncepere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urmăririi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penale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privința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angajaților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IGP CGP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10.09.2009,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scoatere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sub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urmărire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penală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polițistului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A.C. din 16.04.2010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22.04.2010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privind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respingerea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demersului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apărătorului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);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Vladimir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Lupu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procuror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prim adjunct al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procurorului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09.11.2009 cu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privire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respingerea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plângerii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reclamantelor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O.R.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L.R. cu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privire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dezacordul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acestora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refuz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pornirea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urmăririi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penale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10.09.2009);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Daniel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Baraliuc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procuror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participat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ședința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judecată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care 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fost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recunoscut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legală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scoatere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sub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urmărire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penală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polițistului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A.C. din 16.04.2010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22.04.2010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privind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respingerea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demersului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apărătorului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N.M.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Dorina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Tăut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procuror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participat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ședința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judecată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ordine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13.03.2013);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Ghenadie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Morozan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judecător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instrucție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Judecătoria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Râșcani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gram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;încheiere</w:t>
            </w:r>
            <w:proofErr w:type="spellEnd"/>
            <w:proofErr w:type="gram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19.01.2010);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0" w:name="_GoBack"/>
            <w:bookmarkEnd w:id="0"/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Anatolie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Galben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judecător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instrucție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Judecătoria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Râșcani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încheiere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15.10.2010);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685651" w:rsidRPr="00685651" w:rsidRDefault="00685651" w:rsidP="00685651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6856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Adela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Andronic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Judecătoria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Centru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sentința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15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iulie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2011);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Liliana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Catan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Gheorghe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Iovu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Mihai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Buruian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13.03.2013);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Petru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Ursache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Iurie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Diaconu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Ghenadie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Nicolaev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856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Supremă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justiție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685651">
              <w:rPr>
                <w:rFonts w:asciiTheme="minorHAnsi" w:hAnsiTheme="minorHAnsi" w:cstheme="minorHAnsi"/>
                <w:sz w:val="20"/>
                <w:szCs w:val="20"/>
              </w:rPr>
              <w:t xml:space="preserve"> din 11.09.2013)</w:t>
            </w:r>
          </w:p>
        </w:tc>
      </w:tr>
      <w:tr w:rsidR="00685651" w:rsidRPr="00D87E06" w:rsidTr="00207CF2">
        <w:tc>
          <w:tcPr>
            <w:tcW w:w="2490" w:type="dxa"/>
          </w:tcPr>
          <w:p w:rsidR="00685651" w:rsidRPr="009B2443" w:rsidRDefault="00685651" w:rsidP="00685651">
            <w:pPr>
              <w:rPr>
                <w:rFonts w:ascii="Calibri" w:hAnsi="Calibri" w:cs="Calibri"/>
                <w:b/>
                <w:lang w:val="ro-RO"/>
              </w:rPr>
            </w:pPr>
            <w:r w:rsidRPr="009B2443">
              <w:rPr>
                <w:rFonts w:ascii="Calibri" w:hAnsi="Calibri" w:cs="Calibri"/>
                <w:b/>
                <w:lang w:val="ro-RO"/>
              </w:rPr>
              <w:t>Sochichiu c. Moldovei</w:t>
            </w:r>
          </w:p>
        </w:tc>
        <w:tc>
          <w:tcPr>
            <w:tcW w:w="1008" w:type="dxa"/>
          </w:tcPr>
          <w:p w:rsidR="00685651" w:rsidRPr="000E097D" w:rsidRDefault="00685651" w:rsidP="00685651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15/05/2012</w:t>
            </w:r>
          </w:p>
        </w:tc>
        <w:tc>
          <w:tcPr>
            <w:tcW w:w="1112" w:type="dxa"/>
          </w:tcPr>
          <w:p w:rsidR="00685651" w:rsidRPr="000E097D" w:rsidRDefault="00685651" w:rsidP="00685651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28698/09</w:t>
            </w:r>
          </w:p>
        </w:tc>
        <w:tc>
          <w:tcPr>
            <w:tcW w:w="4057" w:type="dxa"/>
          </w:tcPr>
          <w:p w:rsidR="00685651" w:rsidRPr="000E097D" w:rsidRDefault="00685651" w:rsidP="00685651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75D95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3 CEDO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–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maltratarea reclamantului în custodia poliției și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ineficiența investigației privind rele-tratamente.</w:t>
            </w:r>
          </w:p>
        </w:tc>
        <w:tc>
          <w:tcPr>
            <w:tcW w:w="2239" w:type="dxa"/>
          </w:tcPr>
          <w:p w:rsidR="00685651" w:rsidRDefault="00685651" w:rsidP="0068565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Suma totala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19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22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0</w:t>
            </w:r>
          </w:p>
          <w:p w:rsidR="00685651" w:rsidRPr="000E097D" w:rsidRDefault="00685651" w:rsidP="0068565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Prejud.material  -  EUR 1,220</w:t>
            </w:r>
          </w:p>
          <w:p w:rsidR="00685651" w:rsidRPr="000E097D" w:rsidRDefault="00685651" w:rsidP="0068565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Prejud. moral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15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,000</w:t>
            </w:r>
          </w:p>
          <w:p w:rsidR="00685651" w:rsidRPr="000E097D" w:rsidRDefault="00685651" w:rsidP="00685651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Cost. și chelt. - EUR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3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,000</w:t>
            </w:r>
          </w:p>
        </w:tc>
        <w:tc>
          <w:tcPr>
            <w:tcW w:w="4214" w:type="dxa"/>
          </w:tcPr>
          <w:p w:rsidR="00685651" w:rsidRPr="00EF2420" w:rsidRDefault="00685651" w:rsidP="00685651">
            <w:pPr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</w:pPr>
            <w:r w:rsidRPr="00EF2420">
              <w:rPr>
                <w:rFonts w:ascii="Calibri" w:hAnsi="Calibri" w:cs="Calibri"/>
                <w:bCs/>
                <w:sz w:val="16"/>
                <w:szCs w:val="16"/>
                <w:lang w:val="ro-RO"/>
              </w:rPr>
              <w:t>La 16 februarie 2007, procurorul din cadrul Procuraturii Generale</w:t>
            </w:r>
            <w:r w:rsidRPr="00EF2420"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  <w:t xml:space="preserve"> Maxim Gropa a emis ordonanța de refuz în pornirea urmăririi penale pe marginea plîngerii cu privire la maltratarea cet. Șochichiu Sergiu.</w:t>
            </w:r>
          </w:p>
          <w:p w:rsidR="00685651" w:rsidRPr="00EF2420" w:rsidRDefault="00685651" w:rsidP="00685651">
            <w:pPr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</w:pPr>
            <w:r w:rsidRPr="00EF2420"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  <w:t>La 30 martie 2007, prim-adjunct al Procurorului General Vasile Pascari, a emis ordonanţa privind respingerea plîngerii avocatului asupra ordonanţei procurorului secţiei conducere a urmăririi penale în organele centrale ale MAI şi SV a Procuraturii Generale Maxim Gropa din 16 februarie 2007.</w:t>
            </w:r>
          </w:p>
          <w:p w:rsidR="00685651" w:rsidRPr="00EF2420" w:rsidRDefault="00685651" w:rsidP="00685651">
            <w:pPr>
              <w:jc w:val="both"/>
              <w:rPr>
                <w:rFonts w:ascii="Calibri" w:eastAsia="Calibri" w:hAnsi="Calibri" w:cs="Calibri"/>
                <w:bCs/>
                <w:i/>
                <w:sz w:val="16"/>
                <w:szCs w:val="16"/>
                <w:lang w:val="ro-RO"/>
              </w:rPr>
            </w:pPr>
            <w:r w:rsidRPr="00EF2420"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  <w:t>La 04 mai 2007, de către Judecătoria Buiucani mun. Chişinău,</w:t>
            </w:r>
            <w:r w:rsidRPr="00EF2420">
              <w:rPr>
                <w:rFonts w:ascii="Calibri" w:hAnsi="Calibri" w:cs="Calibri"/>
                <w:bCs/>
                <w:sz w:val="16"/>
                <w:szCs w:val="16"/>
                <w:lang w:val="ro-RO"/>
              </w:rPr>
              <w:t xml:space="preserve"> judecătorul Mihai Drosu, </w:t>
            </w:r>
            <w:r w:rsidRPr="00EF2420"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  <w:t xml:space="preserve"> a fost emisă Încheierea prin care a fost respinsă plîngerea avocatului din 12 aprilie 2007, prin care ultimul a solicitat declararea nulității ordonanțelor din 16 februarie 2007, din 30 martie 2007.</w:t>
            </w:r>
            <w:r w:rsidRPr="00EF2420">
              <w:rPr>
                <w:rFonts w:ascii="Calibri" w:eastAsia="Calibri" w:hAnsi="Calibri" w:cs="Calibri"/>
                <w:sz w:val="16"/>
                <w:szCs w:val="16"/>
                <w:lang w:val="ro-RO"/>
              </w:rPr>
              <w:t>La 06 iulie 2007, procurorul Secţiei conducere a urmăririi penale în organele centrale ale MAI şi SV a Procuraturii Generate Ghenadie Homiţchii, repetat şi la fel, absolut neîntemeiat a dispus refuzul în pornirea urmăririi penale şi nu l-a informat pe petiţionar şi avocatul acestuia despre emiterea ordonanţei în cauză.</w:t>
            </w:r>
          </w:p>
          <w:p w:rsidR="00685651" w:rsidRPr="00EF2420" w:rsidRDefault="00685651" w:rsidP="00685651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6"/>
                <w:szCs w:val="16"/>
                <w:lang w:val="ro-RO"/>
              </w:rPr>
            </w:pPr>
            <w:r w:rsidRPr="00EF2420">
              <w:rPr>
                <w:rFonts w:ascii="Calibri" w:eastAsia="Calibri" w:hAnsi="Calibri" w:cs="Calibri"/>
                <w:sz w:val="16"/>
                <w:szCs w:val="16"/>
                <w:lang w:val="ro-RO"/>
              </w:rPr>
              <w:t xml:space="preserve">La 24 decembrie 2008, avocatul Gheorghe Malic a primit răspunsul din 19 decembrie 2008, în care Procuratura Generala, în persoana procurorului Dumitru Carabeţchi, după examinarea superficială a cererii înainate, a informat că la 15 mai 2008, procurorul din cadrul Procuraturii mun. Chişinău Viorel Pocaznoi a refuzat pornirea urmăririi penale şi a informat despre dreptul de a supune ordonanţa contestată controlului judiciar în conformitate cu art. 313 Cod procedura penala. </w:t>
            </w:r>
          </w:p>
          <w:p w:rsidR="00685651" w:rsidRPr="00EF2420" w:rsidRDefault="00685651" w:rsidP="0068565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6"/>
                <w:szCs w:val="16"/>
                <w:lang w:val="ro-RO"/>
              </w:rPr>
            </w:pPr>
            <w:r w:rsidRPr="00EF2420"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  <w:t xml:space="preserve">La 17 martie 2009,  procurorul mun. Chişinău Sergiu Croitor, examinînd plîngerea avocatului Gheorghe Malic din 10 ianuarie 2009, care i-a fost expediată spre examinare prin Încheierea Judecătorului de instrucţie din 10 martie 2009, şi </w:t>
            </w:r>
            <w:r w:rsidRPr="00EF2420"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  <w:lastRenderedPageBreak/>
              <w:t>constatînd că în momentul reţinerii mîinile cet.S.Şochichiu a fost legate cu cureaua,  a emis ordonanţa prin care a respins plîngerea nominalizată.</w:t>
            </w:r>
            <w:r w:rsidRPr="00EF2420">
              <w:rPr>
                <w:rFonts w:ascii="Calibri" w:eastAsia="Calibri" w:hAnsi="Calibri" w:cs="Calibri"/>
                <w:sz w:val="16"/>
                <w:szCs w:val="16"/>
                <w:lang w:val="ro-RO"/>
              </w:rPr>
              <w:t xml:space="preserve"> </w:t>
            </w:r>
          </w:p>
          <w:p w:rsidR="00685651" w:rsidRPr="00EF2420" w:rsidRDefault="00685651" w:rsidP="0068565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6"/>
                <w:szCs w:val="16"/>
                <w:lang w:val="ro-RO"/>
              </w:rPr>
            </w:pPr>
            <w:r w:rsidRPr="00EF2420">
              <w:rPr>
                <w:rFonts w:ascii="Calibri" w:eastAsia="Calibri" w:hAnsi="Calibri" w:cs="Calibri"/>
                <w:sz w:val="16"/>
                <w:szCs w:val="16"/>
                <w:lang w:val="ro-RO"/>
              </w:rPr>
              <w:t xml:space="preserve">La 14 decembrie 2009,  </w:t>
            </w:r>
            <w:r w:rsidRPr="00EF2420">
              <w:rPr>
                <w:rFonts w:ascii="Calibri" w:hAnsi="Calibri" w:cs="Calibri"/>
                <w:sz w:val="16"/>
                <w:szCs w:val="16"/>
                <w:lang w:val="ro-RO"/>
              </w:rPr>
              <w:t>procurorul în Procuratura mun. Chișinău Andrei Roșca, a emis ordonanța de încetare a urmăririi penale  pe marginea cauzei penale nr.2009028178 intentate în baza prevederilor lit.a) din alin.2 al art.328 Cod penal pe faptul maltratării cet.Șochichiu Sergiu.</w:t>
            </w:r>
          </w:p>
          <w:p w:rsidR="00685651" w:rsidRPr="00EF2420" w:rsidRDefault="00685651" w:rsidP="0068565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F2420">
              <w:rPr>
                <w:rFonts w:ascii="Calibri" w:hAnsi="Calibri" w:cs="Calibri"/>
                <w:sz w:val="16"/>
                <w:szCs w:val="16"/>
                <w:lang w:val="ro-RO"/>
              </w:rPr>
              <w:t>La 09 aprilie 2009, prim-adjunct al procurorului mun. Chișinău Vladimir Lupu, a emis ordonanța prin care a respins plîngerea avocatului Oancea Iurie depusă împotriva ordonanței din 14 decembrie 2009.</w:t>
            </w:r>
          </w:p>
          <w:p w:rsidR="00685651" w:rsidRPr="00EF2420" w:rsidRDefault="00685651" w:rsidP="0068565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F2420">
              <w:rPr>
                <w:rFonts w:ascii="Calibri" w:eastAsia="Calibri" w:hAnsi="Calibri" w:cs="Calibri"/>
                <w:sz w:val="16"/>
                <w:szCs w:val="16"/>
                <w:lang w:val="ro-RO"/>
              </w:rPr>
              <w:t xml:space="preserve">La 30 decembrie 2010,  </w:t>
            </w:r>
            <w:r w:rsidRPr="00EF2420">
              <w:rPr>
                <w:rFonts w:ascii="Calibri" w:hAnsi="Calibri" w:cs="Calibri"/>
                <w:sz w:val="16"/>
                <w:szCs w:val="16"/>
                <w:lang w:val="ro-RO"/>
              </w:rPr>
              <w:t>procurorul în Procuratura mun. Chișinău Andrei Roșca, a emis ordonanța de încetare a urmăririi penale  pe marginea cauzei penale nr.2009028178 intentate în baza prevederilor lit.a) din alin.2 al art.328 Cod penal pe faptul maltratării cet.Șochichiu Sergiu.</w:t>
            </w:r>
          </w:p>
          <w:p w:rsidR="00685651" w:rsidRPr="00EF2420" w:rsidRDefault="00685651" w:rsidP="0068565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F2420">
              <w:rPr>
                <w:rFonts w:ascii="Calibri" w:hAnsi="Calibri" w:cs="Calibri"/>
                <w:sz w:val="16"/>
                <w:szCs w:val="16"/>
                <w:lang w:val="ro-RO"/>
              </w:rPr>
              <w:t>La 18 februarie 2011, prim-adjunct al procurorului mun. Chișinău Vladimir Lupu, a emis ordonanța prin care a respins plîngerea avocatului Oancea Iurie depusă împotriva ordonanței din 14 decembrie 2009.</w:t>
            </w:r>
          </w:p>
          <w:p w:rsidR="00685651" w:rsidRPr="00EF2420" w:rsidRDefault="00685651" w:rsidP="00685651">
            <w:pPr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</w:pPr>
            <w:r w:rsidRPr="00EF2420">
              <w:rPr>
                <w:rFonts w:ascii="Calibri" w:hAnsi="Calibri" w:cs="Calibri"/>
                <w:sz w:val="16"/>
                <w:szCs w:val="16"/>
                <w:lang w:val="ro-RO"/>
              </w:rPr>
              <w:t xml:space="preserve">La 18 iulie 2011, procurorul în Procuratura mun. Chișinău Lucia Arsenii, a emis ordonanța de încetare a urmăririi penale  pe marginea cauzei penale nr.2009028178, intentate în baza prevederilor lit.a) din alin.2 al art.328 Cod penal, pe faptul  </w:t>
            </w:r>
            <w:r w:rsidRPr="00EF2420">
              <w:rPr>
                <w:rFonts w:ascii="Calibri" w:eastAsia="Calibri" w:hAnsi="Calibri" w:cs="Calibri"/>
                <w:bCs/>
                <w:sz w:val="16"/>
                <w:szCs w:val="16"/>
                <w:lang w:val="ro-RO"/>
              </w:rPr>
              <w:t>maltratării cet.Șochichiu Sergiu.</w:t>
            </w:r>
          </w:p>
          <w:p w:rsidR="00685651" w:rsidRPr="00EF2420" w:rsidRDefault="00685651" w:rsidP="0068565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6"/>
                <w:szCs w:val="16"/>
                <w:lang w:val="ro-RO"/>
              </w:rPr>
            </w:pPr>
            <w:r w:rsidRPr="00EF2420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La 07 septembrie 2011, prim-adjunct al procurorului mun. Chișinău Vladimir Lupu a emis ordonanța prin care a respins plîngerea avocatului Oancea Iurie depusă împotriva ordonanței din 18 iulie 2011 decembrie 2009.</w:t>
            </w:r>
          </w:p>
          <w:p w:rsidR="00685651" w:rsidRPr="000B43E2" w:rsidRDefault="00685651" w:rsidP="0068565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  <w:lang w:val="ro-RO" w:eastAsia="ro-RO"/>
              </w:rPr>
            </w:pPr>
            <w:r w:rsidRPr="00EF2420">
              <w:rPr>
                <w:rFonts w:ascii="Calibri" w:hAnsi="Calibri" w:cs="Calibri"/>
                <w:sz w:val="16"/>
                <w:szCs w:val="16"/>
                <w:lang w:val="ro-RO"/>
              </w:rPr>
              <w:t>La 27 octombrie 2011, de către Judecătoria Rîșcani mun.Chiși</w:t>
            </w: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nău, judecătorul </w:t>
            </w:r>
            <w:r w:rsidRPr="00A6445D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Anatolie GALBEN</w:t>
            </w:r>
            <w:r w:rsidRPr="00EF2420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a fost emisă Încheierea, prin care instanța a dispus: </w:t>
            </w:r>
            <w:r w:rsidRPr="00EF2420">
              <w:rPr>
                <w:rFonts w:ascii="Calibri" w:hAnsi="Calibri" w:cs="Calibri"/>
                <w:sz w:val="16"/>
                <w:szCs w:val="16"/>
                <w:lang w:val="ro-RO" w:eastAsia="ro-RO"/>
              </w:rPr>
              <w:t>a recunoaşte legală ordonanţa din 18 iulie 2011 de încetare a urmăririi penale pe cauza penală nr.2009028178, emisă de procurorul în procuratura mun.Chişinău Lucia Arsenii şi ordonanţa procurorului adjunct al procurorului mun.Chişinău Vladimir Lupu din 07 septembrie  2011</w:t>
            </w:r>
            <w:r w:rsidRPr="00EF2420">
              <w:rPr>
                <w:rFonts w:ascii="Calibri" w:hAnsi="Calibri" w:cs="Calibri"/>
                <w:sz w:val="16"/>
                <w:szCs w:val="16"/>
                <w:u w:val="single"/>
                <w:lang w:val="ro-RO" w:eastAsia="ro-RO"/>
              </w:rPr>
              <w:t xml:space="preserve">, </w:t>
            </w:r>
            <w:r w:rsidRPr="00EF2420">
              <w:rPr>
                <w:rFonts w:ascii="Calibri" w:hAnsi="Calibri" w:cs="Calibri"/>
                <w:sz w:val="16"/>
                <w:szCs w:val="16"/>
                <w:lang w:val="ro-RO" w:eastAsia="ro-RO"/>
              </w:rPr>
              <w:t>iar plîngerea avocatului Iurie Oancea în interesele lui Sergiu Şochichiu a fost respinsă ca neîntemeiată.</w:t>
            </w:r>
          </w:p>
        </w:tc>
      </w:tr>
      <w:tr w:rsidR="003A334E" w:rsidRPr="00983E91" w:rsidTr="003A334E">
        <w:trPr>
          <w:trHeight w:val="71"/>
        </w:trPr>
        <w:tc>
          <w:tcPr>
            <w:tcW w:w="2490" w:type="dxa"/>
          </w:tcPr>
          <w:p w:rsidR="003A334E" w:rsidRPr="003A334E" w:rsidRDefault="003A334E" w:rsidP="003A334E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</w:pPr>
            <w:r w:rsidRPr="003A334E"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  <w:lastRenderedPageBreak/>
              <w:t>Doroseva c. Moldovei</w:t>
            </w:r>
          </w:p>
        </w:tc>
        <w:tc>
          <w:tcPr>
            <w:tcW w:w="1008" w:type="dxa"/>
          </w:tcPr>
          <w:p w:rsidR="003A334E" w:rsidRPr="006F104E" w:rsidRDefault="003A334E" w:rsidP="003A334E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6F104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28/07/2015</w:t>
            </w:r>
          </w:p>
        </w:tc>
        <w:tc>
          <w:tcPr>
            <w:tcW w:w="1112" w:type="dxa"/>
          </w:tcPr>
          <w:p w:rsidR="003A334E" w:rsidRPr="006F104E" w:rsidRDefault="003A334E" w:rsidP="003A334E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</w:pPr>
            <w:r w:rsidRPr="006F104E"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  <w:t>39553/12</w:t>
            </w:r>
          </w:p>
        </w:tc>
        <w:tc>
          <w:tcPr>
            <w:tcW w:w="4057" w:type="dxa"/>
          </w:tcPr>
          <w:p w:rsidR="003A334E" w:rsidRPr="006F104E" w:rsidRDefault="003A334E" w:rsidP="003A334E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3 CEDO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 – rele tratamente și lipsa unei investigații eficiente</w:t>
            </w:r>
          </w:p>
        </w:tc>
        <w:tc>
          <w:tcPr>
            <w:tcW w:w="2239" w:type="dxa"/>
          </w:tcPr>
          <w:p w:rsidR="003A334E" w:rsidRPr="001C122D" w:rsidRDefault="003A334E" w:rsidP="003A334E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color w:val="000000"/>
                <w:sz w:val="18"/>
                <w:szCs w:val="18"/>
                <w:lang w:val="ro-RO"/>
              </w:rPr>
            </w:pPr>
            <w:r w:rsidRPr="001C122D">
              <w:rPr>
                <w:bCs w:val="0"/>
                <w:color w:val="000000"/>
                <w:sz w:val="18"/>
                <w:szCs w:val="18"/>
                <w:lang w:val="ro-RO"/>
              </w:rPr>
              <w:t>Suma totala - EUR 12,000</w:t>
            </w:r>
          </w:p>
          <w:p w:rsidR="003A334E" w:rsidRPr="001C122D" w:rsidRDefault="003A334E" w:rsidP="003A334E">
            <w:pPr>
              <w:pStyle w:val="1"/>
              <w:shd w:val="clear" w:color="auto" w:fill="auto"/>
              <w:spacing w:after="0" w:line="189" w:lineRule="exact"/>
              <w:jc w:val="left"/>
              <w:rPr>
                <w:b w:val="0"/>
                <w:sz w:val="18"/>
                <w:szCs w:val="18"/>
                <w:lang w:val="ro-RO"/>
              </w:rPr>
            </w:pPr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Prejud. moral - EUR12,000</w:t>
            </w:r>
          </w:p>
          <w:p w:rsidR="003A334E" w:rsidRPr="006F104E" w:rsidRDefault="003A334E" w:rsidP="003A334E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</w:p>
        </w:tc>
        <w:tc>
          <w:tcPr>
            <w:tcW w:w="4214" w:type="dxa"/>
          </w:tcPr>
          <w:p w:rsidR="003A334E" w:rsidRPr="006F104E" w:rsidRDefault="003A334E" w:rsidP="003A334E">
            <w:pPr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Procuratura Râșcani, mun.</w:t>
            </w: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Chișinău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Pleșca A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ngela</w:t>
            </w:r>
          </w:p>
          <w:p w:rsidR="003A334E" w:rsidRPr="006F104E" w:rsidRDefault="003A334E" w:rsidP="003A334E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Judecătoria Râșcani</w:t>
            </w:r>
            <w:r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,</w:t>
            </w: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 mun.Chișinău</w:t>
            </w:r>
            <w:r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: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3A334E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Galben Anatolie</w:t>
            </w:r>
          </w:p>
        </w:tc>
      </w:tr>
    </w:tbl>
    <w:p w:rsidR="000B5735" w:rsidRPr="00983E91" w:rsidRDefault="00685651">
      <w:pPr>
        <w:rPr>
          <w:lang w:val="ro-RO"/>
        </w:rPr>
      </w:pPr>
    </w:p>
    <w:sectPr w:rsidR="000B5735" w:rsidRPr="00983E91" w:rsidSect="00A6445D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D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07CF2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2B3C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334E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A487A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651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2396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83E91"/>
    <w:rsid w:val="00992422"/>
    <w:rsid w:val="00993B8A"/>
    <w:rsid w:val="0099586C"/>
    <w:rsid w:val="009A3470"/>
    <w:rsid w:val="009A46F1"/>
    <w:rsid w:val="009A63DA"/>
    <w:rsid w:val="009B2443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445D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87E06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243C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14296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B5648-973E-47D0-BCC2-6384DB6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A6445D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6445D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85pt">
    <w:name w:val="Основной текст + 8;5 pt;Не полужирный"/>
    <w:rsid w:val="003A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rsid w:val="003A33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Diana</cp:lastModifiedBy>
  <cp:revision>5</cp:revision>
  <dcterms:created xsi:type="dcterms:W3CDTF">2020-02-27T13:15:00Z</dcterms:created>
  <dcterms:modified xsi:type="dcterms:W3CDTF">2020-02-27T13:21:00Z</dcterms:modified>
</cp:coreProperties>
</file>