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1008"/>
        <w:gridCol w:w="1112"/>
        <w:gridCol w:w="4057"/>
        <w:gridCol w:w="2239"/>
        <w:gridCol w:w="4214"/>
      </w:tblGrid>
      <w:tr w:rsidR="008B5660" w:rsidRPr="008B5660" w:rsidTr="002E5060">
        <w:trPr>
          <w:trHeight w:val="60"/>
        </w:trPr>
        <w:tc>
          <w:tcPr>
            <w:tcW w:w="2490" w:type="dxa"/>
          </w:tcPr>
          <w:p w:rsidR="008B5660" w:rsidRPr="008B5660" w:rsidRDefault="008B5660" w:rsidP="008B5660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bookmarkStart w:id="0" w:name="_GoBack" w:colFirst="2" w:colLast="2"/>
            <w:r w:rsidRPr="008B5660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008" w:type="dxa"/>
          </w:tcPr>
          <w:p w:rsidR="008B5660" w:rsidRPr="008B5660" w:rsidRDefault="008B5660" w:rsidP="008B5660">
            <w:pPr>
              <w:ind w:left="-144" w:righ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adoptării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/ data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intrării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1112" w:type="dxa"/>
          </w:tcPr>
          <w:p w:rsidR="008B5660" w:rsidRPr="008B5660" w:rsidRDefault="008B5660" w:rsidP="008B5660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057" w:type="dxa"/>
          </w:tcPr>
          <w:p w:rsidR="008B5660" w:rsidRPr="008B5660" w:rsidRDefault="008B5660" w:rsidP="008B56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Violările constatate</w:t>
            </w:r>
          </w:p>
        </w:tc>
        <w:tc>
          <w:tcPr>
            <w:tcW w:w="2239" w:type="dxa"/>
          </w:tcPr>
          <w:p w:rsidR="008B5660" w:rsidRPr="008B5660" w:rsidRDefault="008B5660" w:rsidP="008B5660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214" w:type="dxa"/>
          </w:tcPr>
          <w:p w:rsidR="008B5660" w:rsidRPr="008B5660" w:rsidRDefault="008B5660" w:rsidP="008B5660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Persoanele responsabile de condamnare</w:t>
            </w:r>
            <w:r w:rsidRPr="008B5660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br/>
              <w:t>(conform funcţiei la ziua comiterii abaterii)</w:t>
            </w:r>
          </w:p>
        </w:tc>
      </w:tr>
      <w:tr w:rsidR="008B5660" w:rsidRPr="008B5660" w:rsidTr="002E5060">
        <w:trPr>
          <w:trHeight w:val="60"/>
        </w:trPr>
        <w:tc>
          <w:tcPr>
            <w:tcW w:w="2490" w:type="dxa"/>
          </w:tcPr>
          <w:p w:rsidR="008B5660" w:rsidRPr="008B5660" w:rsidRDefault="008B5660" w:rsidP="008B5660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O.R. </w:t>
            </w:r>
            <w:proofErr w:type="spellStart"/>
            <w:r w:rsidRPr="008B5660">
              <w:rPr>
                <w:rFonts w:asciiTheme="minorHAnsi" w:hAnsiTheme="minorHAnsi" w:cstheme="minorHAnsi"/>
                <w:b/>
                <w:sz w:val="20"/>
                <w:szCs w:val="20"/>
              </w:rPr>
              <w:t>și</w:t>
            </w:r>
            <w:proofErr w:type="spellEnd"/>
            <w:r w:rsidRPr="008B56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L.R.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6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contra </w:t>
            </w:r>
            <w:proofErr w:type="spellStart"/>
            <w:r w:rsidRPr="008B5660">
              <w:rPr>
                <w:rFonts w:asciiTheme="minorHAnsi" w:hAnsiTheme="minorHAnsi" w:cstheme="minorHAnsi"/>
                <w:b/>
                <w:sz w:val="20"/>
                <w:szCs w:val="20"/>
              </w:rPr>
              <w:t>Moldovei</w:t>
            </w:r>
            <w:proofErr w:type="spellEnd"/>
          </w:p>
        </w:tc>
        <w:tc>
          <w:tcPr>
            <w:tcW w:w="1008" w:type="dxa"/>
          </w:tcPr>
          <w:p w:rsidR="008B5660" w:rsidRPr="008B5660" w:rsidRDefault="008B5660" w:rsidP="008B5660">
            <w:pPr>
              <w:ind w:left="-144" w:righ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30.10.2018 30.01.2019</w:t>
            </w:r>
          </w:p>
        </w:tc>
        <w:tc>
          <w:tcPr>
            <w:tcW w:w="1112" w:type="dxa"/>
          </w:tcPr>
          <w:p w:rsidR="008B5660" w:rsidRPr="008B5660" w:rsidRDefault="008B5660" w:rsidP="008B5660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24129/11</w:t>
            </w:r>
          </w:p>
        </w:tc>
        <w:tc>
          <w:tcPr>
            <w:tcW w:w="4057" w:type="dxa"/>
          </w:tcPr>
          <w:p w:rsidR="008B5660" w:rsidRPr="008B5660" w:rsidRDefault="008B5660" w:rsidP="008B5660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Invocând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Articolul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3 din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Convenție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reclamantele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s-au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plâns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fața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Curții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relele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tratamente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la care au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fost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supuse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către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polițiști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incinta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Comisariatului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General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Poliție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mun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la 7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aprilie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2009,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obligarea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acestora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să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dezbrace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să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facă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așezări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fața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mai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multor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persoane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precum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lipsa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unei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investigații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prompte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acest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sens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polițiștii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fiind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scutiți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pedeapsă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39" w:type="dxa"/>
          </w:tcPr>
          <w:p w:rsidR="008B5660" w:rsidRPr="008B5660" w:rsidRDefault="008B5660" w:rsidP="008B5660">
            <w:pPr>
              <w:ind w:left="-108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proofErr w:type="gram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7500 euro</w:t>
            </w:r>
            <w:proofErr w:type="gram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pentru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prejudiciul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moral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1500 euro cu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titlu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costuri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cheltuieli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14" w:type="dxa"/>
          </w:tcPr>
          <w:p w:rsidR="008B5660" w:rsidRPr="008B5660" w:rsidRDefault="008B5660" w:rsidP="008B56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Andrei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Roșca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,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procuror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Procuratura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mun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Ordonanța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neîncepere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urmăririi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penale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privința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angajaților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IGP CGP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mun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din 10.09.2009,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Ordonanța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scoatere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sub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urmărire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penală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polițistului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A.C. din 16.04.2010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Ordonanța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din 22.04.2010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privind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respingerea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demersului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apărătorului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); 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Vladimir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Lupu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procuror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prim adjunct al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procurorului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mun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Ordonanța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din 09.11.2009 cu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privire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respingerea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plângerii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reclamantelor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O.R.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L.R. cu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privire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dezacordul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acestora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Ordonanța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refuz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pornirea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urmăririi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penale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din 10.09.2009); 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Daniel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Baraliuc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procuror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a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participat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ședința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judecată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prin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care a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fost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recunoscut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legală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Ordonanța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scoatere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sub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urmărire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penală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polițistului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A.C. din 16.04.2010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ordonanța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din 22.04.2010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privind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respingerea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demersului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apărătorului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N.M. 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Dorina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Tăut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procuror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a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participat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ședința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judecată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în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ordine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apel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decizia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Curții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Apel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din 13.03.2013);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Ghenadie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Morozan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judecător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instrucție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Judecătoria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Râșcani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mun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gram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;încheiere</w:t>
            </w:r>
            <w:proofErr w:type="spellEnd"/>
            <w:proofErr w:type="gram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din 19.01.2010); 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Anatolie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Galben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judecător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instrucție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Judecătoria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Râșcani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mun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încheiere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din 15.10.2010); 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8B5660" w:rsidRPr="008B5660" w:rsidRDefault="008B5660" w:rsidP="008B5660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Adela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Andronic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Judecătoria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Centru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mun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sentința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din 15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iulie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2011); 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Liliana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Catan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Gheorghe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Iovu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Mihai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Buruian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Apel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Chișinău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decizia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din 13.03.2013); 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Petru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Ursache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Iurie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Diaconu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Ghenadie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Nicolaev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B566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Curtea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Supremă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justiție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>decizia</w:t>
            </w:r>
            <w:proofErr w:type="spellEnd"/>
            <w:r w:rsidRPr="008B5660">
              <w:rPr>
                <w:rFonts w:asciiTheme="minorHAnsi" w:hAnsiTheme="minorHAnsi" w:cstheme="minorHAnsi"/>
                <w:sz w:val="20"/>
                <w:szCs w:val="20"/>
              </w:rPr>
              <w:t xml:space="preserve"> din 11.09.2013)</w:t>
            </w:r>
          </w:p>
        </w:tc>
      </w:tr>
      <w:tr w:rsidR="008B5660" w:rsidRPr="008B5660" w:rsidTr="002E5060">
        <w:trPr>
          <w:trHeight w:val="60"/>
        </w:trPr>
        <w:tc>
          <w:tcPr>
            <w:tcW w:w="2490" w:type="dxa"/>
          </w:tcPr>
          <w:p w:rsidR="008B5660" w:rsidRPr="008B5660" w:rsidRDefault="008B5660" w:rsidP="008B5660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>Feraru c. Moldovei</w:t>
            </w:r>
          </w:p>
        </w:tc>
        <w:tc>
          <w:tcPr>
            <w:tcW w:w="1008" w:type="dxa"/>
          </w:tcPr>
          <w:p w:rsidR="008B5660" w:rsidRPr="008B5660" w:rsidRDefault="008B5660" w:rsidP="008B5660">
            <w:pPr>
              <w:ind w:right="-108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24/01/2012</w:t>
            </w:r>
          </w:p>
        </w:tc>
        <w:tc>
          <w:tcPr>
            <w:tcW w:w="1112" w:type="dxa"/>
          </w:tcPr>
          <w:p w:rsidR="008B5660" w:rsidRPr="008B5660" w:rsidRDefault="008B5660" w:rsidP="008B5660">
            <w:pPr>
              <w:ind w:left="-12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55792/08</w:t>
            </w:r>
          </w:p>
        </w:tc>
        <w:tc>
          <w:tcPr>
            <w:tcW w:w="4057" w:type="dxa"/>
          </w:tcPr>
          <w:p w:rsidR="008B5660" w:rsidRPr="008B5660" w:rsidRDefault="008B5660" w:rsidP="008B566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  <w:lang w:val="ro-RO"/>
              </w:rPr>
              <w:t>violarea art. 3 CEDO</w:t>
            </w:r>
            <w:r w:rsidRPr="008B566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 xml:space="preserve"> - detenția reclamantului în condiții inumane.</w:t>
            </w:r>
          </w:p>
          <w:p w:rsidR="008B5660" w:rsidRPr="008B5660" w:rsidRDefault="008B5660" w:rsidP="008B566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  <w:lang w:val="ro-RO"/>
              </w:rPr>
              <w:t>violarea art. 5.3 CEDO</w:t>
            </w:r>
            <w:r w:rsidRPr="008B566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 xml:space="preserve"> – motivarea insuficientă a mandatului de arest.</w:t>
            </w:r>
          </w:p>
          <w:p w:rsidR="008B5660" w:rsidRPr="008B5660" w:rsidRDefault="008B5660" w:rsidP="008B566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  <w:lang w:val="ro-RO"/>
              </w:rPr>
              <w:t>violarea art. 5.4 CEDO</w:t>
            </w:r>
            <w:r w:rsidRPr="008B566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ro-RO"/>
              </w:rPr>
              <w:t xml:space="preserve"> – disconsiderarea demersului apărării de audiere a unui martor.</w:t>
            </w:r>
          </w:p>
        </w:tc>
        <w:tc>
          <w:tcPr>
            <w:tcW w:w="2239" w:type="dxa"/>
          </w:tcPr>
          <w:p w:rsidR="008B5660" w:rsidRPr="008B5660" w:rsidRDefault="008B5660" w:rsidP="008B5660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8B5660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Suma totala - EUR 7,000</w:t>
            </w:r>
          </w:p>
          <w:p w:rsidR="008B5660" w:rsidRPr="008B5660" w:rsidRDefault="008B5660" w:rsidP="008B5660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cstheme="minorHAnsi"/>
                <w:b w:val="0"/>
                <w:sz w:val="20"/>
                <w:szCs w:val="20"/>
                <w:lang w:val="ro-RO"/>
              </w:rPr>
            </w:pPr>
            <w:r w:rsidRPr="008B5660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Prejud. moral - EUR 7,000</w:t>
            </w:r>
          </w:p>
        </w:tc>
        <w:tc>
          <w:tcPr>
            <w:tcW w:w="4214" w:type="dxa"/>
          </w:tcPr>
          <w:p w:rsidR="008B5660" w:rsidRPr="008B5660" w:rsidRDefault="008B5660" w:rsidP="008B5660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judecătoria sec. Rîşcani Chişinău: </w:t>
            </w:r>
            <w:r w:rsidRPr="008B5660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>judecător</w:t>
            </w: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de instrucţie </w:t>
            </w:r>
            <w:r w:rsidRPr="008B5660">
              <w:rPr>
                <w:rFonts w:asciiTheme="minorHAnsi" w:hAnsiTheme="minorHAnsi" w:cstheme="minorHAnsi"/>
                <w:sz w:val="20"/>
                <w:szCs w:val="20"/>
                <w:highlight w:val="yellow"/>
                <w:lang w:val="ro-RO"/>
              </w:rPr>
              <w:t>Gh. Morozan</w:t>
            </w: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</w:p>
          <w:p w:rsidR="008B5660" w:rsidRPr="008B5660" w:rsidRDefault="008B5660" w:rsidP="008B5660">
            <w:pPr>
              <w:rPr>
                <w:rFonts w:asciiTheme="minorHAnsi" w:hAnsiTheme="minorHAnsi" w:cstheme="minorHAnsi"/>
                <w:i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Curtea de Apel Chișinău</w:t>
            </w:r>
            <w:r w:rsidRPr="008B5660">
              <w:rPr>
                <w:rFonts w:asciiTheme="minorHAnsi" w:hAnsiTheme="minorHAnsi" w:cstheme="minorHAnsi"/>
                <w:sz w:val="20"/>
                <w:szCs w:val="20"/>
                <w:u w:val="single"/>
                <w:lang w:val="ro-RO"/>
              </w:rPr>
              <w:t xml:space="preserve"> Judecătorii</w:t>
            </w: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:  X. Ulianovschii, G. Melinteanu și G. Lîsîi.</w:t>
            </w:r>
          </w:p>
        </w:tc>
      </w:tr>
      <w:tr w:rsidR="002E5060" w:rsidRPr="008B5660" w:rsidTr="002E5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60" w:rsidRPr="008B5660" w:rsidRDefault="002E5060" w:rsidP="002E5060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BOICENCO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60" w:rsidRPr="008B5660" w:rsidRDefault="002E5060" w:rsidP="002E5060">
            <w:pPr>
              <w:ind w:right="-108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11.07.2006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60" w:rsidRPr="008B5660" w:rsidRDefault="002E5060" w:rsidP="002E5060">
            <w:pPr>
              <w:ind w:left="-12"/>
              <w:jc w:val="center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41088/05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60" w:rsidRPr="008B5660" w:rsidRDefault="002E5060" w:rsidP="002E5060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  <w:lang w:val="ro-RO"/>
              </w:rPr>
            </w:pPr>
            <w:r w:rsidRPr="008B566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  <w:lang w:val="ro-RO"/>
              </w:rPr>
              <w:t xml:space="preserve">violarea art.3 al Convenţiei (interzicerea torturii) – maltratarea reclamantului de către angajaţii Centrului pentru Combaterea Crimelor Economice şi a Corupţiei; neacordarea asistenţei medicale necesare pe durata detenţiei reclamantului, care se afla în stare de stupor; respingerea, fără a efectua o cercetare, a plângerilor privind maltratarea reclamantului de către acelaşi procuror care instrumenta cauze penală împotriva reclamantului; violarea art. 5 § 1 al Convenţiei -  lipsirea de libertate a reclamantului, fără un mandat legal, după transmiterea dosarului penal în instanţa de judecată spre examinare (timp de peste 5 luni); violarea art. 5 § 3 al Convenţiei (garanţiile în cadrul procedurilor privind lipsirea de libertate) - motivarea insuficientă a deciziilor de eliberare şi prelungire a mandatului de arest şi a deciziilor de respingere a recursurilor apărării la aceste decizii; violarea art. 5 § 3 al Convenţiei </w:t>
            </w:r>
            <w:r w:rsidRPr="008B566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u w:val="single"/>
                <w:lang w:val="ro-RO"/>
              </w:rPr>
              <w:lastRenderedPageBreak/>
              <w:t>(prezumţia de libertate) - datorită gravităţii învinuirilor, prevederile art. 191 al Codului de Procedură Penală obligau arestarea reclamantului; violarea art. 34 al Convenţiei (dreptul de a depune o cerere la CtEDO) – refuzul autorităţilor de a permite avocaţilor reclamantului de a avea acces la reclamant şi la fişa sa medicală, ceea ce i-a împiedicat să prezinte Curţii, în numele reclamantului, pretenţiile cu privire la prejudiciile materiale.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60" w:rsidRPr="008B5660" w:rsidRDefault="002E5060" w:rsidP="002E5060">
            <w:pPr>
              <w:pStyle w:val="1"/>
              <w:spacing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8B5660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lastRenderedPageBreak/>
              <w:t>Comp. mater.- rezervat pentru o hotărâre separată</w:t>
            </w:r>
          </w:p>
          <w:p w:rsidR="002E5060" w:rsidRPr="008B5660" w:rsidRDefault="002E5060" w:rsidP="002E5060">
            <w:pPr>
              <w:pStyle w:val="1"/>
              <w:spacing w:line="189" w:lineRule="exac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8B5660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Comp. moral.- € 40,000</w:t>
            </w:r>
          </w:p>
          <w:p w:rsidR="002E5060" w:rsidRPr="008B5660" w:rsidRDefault="002E5060" w:rsidP="002E5060">
            <w:pPr>
              <w:pStyle w:val="1"/>
              <w:spacing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</w:pPr>
            <w:r w:rsidRPr="008B5660">
              <w:rPr>
                <w:rFonts w:cstheme="minorHAnsi"/>
                <w:b w:val="0"/>
                <w:bCs w:val="0"/>
                <w:color w:val="000000"/>
                <w:sz w:val="20"/>
                <w:szCs w:val="20"/>
                <w:lang w:val="ro-RO"/>
              </w:rPr>
              <w:t>Cost/chelt.- € 6,823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60" w:rsidRPr="008B5660" w:rsidRDefault="002E5060" w:rsidP="002E5060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(a) Responsabil de reţinerea reclamantului - locotenent-colonelul Marina MACOVEI, ofiţer superior la CCCEC;</w:t>
            </w:r>
          </w:p>
          <w:p w:rsidR="002E5060" w:rsidRPr="008B5660" w:rsidRDefault="002E5060" w:rsidP="002E5060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(b) maltratarea reclamantului – persoane neindentificate din cadrul CCCEC;</w:t>
            </w:r>
          </w:p>
          <w:p w:rsidR="002E5060" w:rsidRPr="008B5660" w:rsidRDefault="002E5060" w:rsidP="002E5060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(c) neînceperea urmăririi penale cu privire la maltratare reclamantului - Nicolae CATANĂ, procuror, Secţia Conducerii urmărire Penală în organele centrale ale CCCEC, SIS şi Departamentul Vamal;</w:t>
            </w:r>
          </w:p>
          <w:p w:rsidR="002E5060" w:rsidRPr="008B5660" w:rsidRDefault="002E5060" w:rsidP="002E5060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(d) refuzul de a anula rezoluţia de neîncepere a urmării penale - </w:t>
            </w:r>
            <w:r w:rsidRPr="008B5660">
              <w:rPr>
                <w:rFonts w:asciiTheme="minorHAnsi" w:hAnsiTheme="minorHAnsi" w:cstheme="minorHAnsi"/>
                <w:sz w:val="20"/>
                <w:szCs w:val="20"/>
                <w:highlight w:val="yellow"/>
                <w:lang w:val="ro-RO"/>
              </w:rPr>
              <w:t>Ghenadie MOROZAN</w:t>
            </w: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, judecător de instrucţie, (judecătoria Rîşcani, mun. Chişinău);</w:t>
            </w:r>
          </w:p>
          <w:p w:rsidR="002E5060" w:rsidRPr="008B5660" w:rsidRDefault="002E5060" w:rsidP="002E5060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(e) nemotivarea necesitaţii arestului - Ion MOROZAN, judecător de instrucţie (judecătoria Buiucani, municipiul Chişinău); Ghenadie NICOLAEV, Gheorghe STRATAN şi Mihai BURUIAN, judecători, Curtea de Apel Chişinău;</w:t>
            </w:r>
          </w:p>
          <w:p w:rsidR="002E5060" w:rsidRPr="008B5660" w:rsidRDefault="002E5060" w:rsidP="002E5060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lastRenderedPageBreak/>
              <w:t>(f) deţinerea reclamantului după 23.07.2005 fără mandat legal – Dorin POPOVICI, Silvia GÎRBU şi Mihail DIACONU, judecători, judecătoria Buiucani, mun. Chişinău</w:t>
            </w:r>
          </w:p>
          <w:p w:rsidR="002E5060" w:rsidRPr="008B5660" w:rsidRDefault="002E5060" w:rsidP="002E5060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(g) neacordarea asistenţei medicale strict necesare – conducerea Spitalului Republican cu Profil Larg al Departamentului Instituţiilor Penitenciare şi conducerea Penitenciarului nr.13 din mun. Chişinău </w:t>
            </w:r>
          </w:p>
          <w:p w:rsidR="002E5060" w:rsidRPr="008B5660" w:rsidRDefault="002E5060" w:rsidP="002E5060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(h) refuzul de a permite avocaţilor să-l vadă pe reclamant şi fişa lui medicală – I. Catrinici, Medic şef adjunct expertiză, Spitalul Clinic de Psihiatrie; Lilia GRIMALSCHI, Şef adjunct, Direcţia Principală Agent Guvernamental</w:t>
            </w:r>
          </w:p>
        </w:tc>
      </w:tr>
      <w:tr w:rsidR="007F5F67" w:rsidRPr="008B5660" w:rsidTr="002E5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7" w:rsidRPr="008B5660" w:rsidRDefault="007F5F67" w:rsidP="007F5F67">
            <w:pPr>
              <w:pStyle w:val="1"/>
              <w:spacing w:line="189" w:lineRule="exact"/>
              <w:jc w:val="left"/>
              <w:rPr>
                <w:rStyle w:val="85pt"/>
                <w:rFonts w:asciiTheme="minorHAnsi" w:eastAsia="Calibri" w:hAnsiTheme="minorHAnsi" w:cstheme="minorHAnsi"/>
                <w:sz w:val="20"/>
                <w:szCs w:val="20"/>
                <w:lang w:val="ro-RO"/>
              </w:rPr>
            </w:pPr>
            <w:r w:rsidRPr="008B5660">
              <w:rPr>
                <w:rStyle w:val="85pt"/>
                <w:rFonts w:asciiTheme="minorHAnsi" w:eastAsia="Calibri" w:hAnsiTheme="minorHAnsi" w:cstheme="minorHAnsi"/>
                <w:sz w:val="20"/>
                <w:szCs w:val="20"/>
                <w:lang w:val="ro-RO"/>
              </w:rPr>
              <w:lastRenderedPageBreak/>
              <w:t>I.P. c. Moldovei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7" w:rsidRPr="008B5660" w:rsidRDefault="007F5F67" w:rsidP="007F5F67">
            <w:pPr>
              <w:ind w:left="-108" w:right="-108"/>
              <w:jc w:val="center"/>
              <w:rPr>
                <w:rStyle w:val="85pt"/>
                <w:rFonts w:asciiTheme="minorHAnsi" w:hAnsiTheme="minorHAnsi" w:cstheme="minorHAnsi"/>
                <w:b w:val="0"/>
                <w:sz w:val="20"/>
                <w:szCs w:val="20"/>
                <w:lang w:val="ro-RO"/>
              </w:rPr>
            </w:pPr>
            <w:r w:rsidRPr="008B5660">
              <w:rPr>
                <w:rStyle w:val="85pt"/>
                <w:rFonts w:asciiTheme="minorHAnsi" w:hAnsiTheme="minorHAnsi" w:cstheme="minorHAnsi"/>
                <w:b w:val="0"/>
                <w:sz w:val="20"/>
                <w:szCs w:val="20"/>
                <w:lang w:val="ro-RO"/>
              </w:rPr>
              <w:t>28/07/2015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7" w:rsidRPr="008B5660" w:rsidRDefault="007F5F67" w:rsidP="007F5F67">
            <w:pPr>
              <w:ind w:left="-12"/>
              <w:jc w:val="center"/>
              <w:rPr>
                <w:rStyle w:val="85pt0"/>
                <w:rFonts w:ascii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</w:pPr>
            <w:r w:rsidRPr="008B5660">
              <w:rPr>
                <w:rStyle w:val="85pt0"/>
                <w:rFonts w:asciiTheme="minorHAnsi" w:hAnsiTheme="minorHAnsi" w:cstheme="minorHAnsi"/>
                <w:b w:val="0"/>
                <w:i w:val="0"/>
                <w:sz w:val="20"/>
                <w:szCs w:val="20"/>
                <w:lang w:val="ro-RO"/>
              </w:rPr>
              <w:t>33708/12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7" w:rsidRPr="008B5660" w:rsidRDefault="007F5F67" w:rsidP="007F5F67">
            <w:pPr>
              <w:jc w:val="both"/>
              <w:rPr>
                <w:rStyle w:val="85pt"/>
                <w:rFonts w:asciiTheme="minorHAnsi" w:hAnsiTheme="minorHAnsi" w:cstheme="minorHAnsi"/>
                <w:b w:val="0"/>
                <w:sz w:val="20"/>
                <w:szCs w:val="20"/>
                <w:lang w:val="ro-RO"/>
              </w:rPr>
            </w:pPr>
            <w:r w:rsidRPr="008B5660">
              <w:rPr>
                <w:rStyle w:val="85pt"/>
                <w:rFonts w:asciiTheme="minorHAnsi" w:hAnsiTheme="minorHAnsi" w:cstheme="minorHAnsi"/>
                <w:b w:val="0"/>
                <w:sz w:val="20"/>
                <w:szCs w:val="20"/>
                <w:u w:val="single"/>
                <w:lang w:val="ro-RO"/>
              </w:rPr>
              <w:t>violarea art. 3 CEDO</w:t>
            </w:r>
            <w:r w:rsidRPr="008B5660">
              <w:rPr>
                <w:rStyle w:val="85pt"/>
                <w:rFonts w:asciiTheme="minorHAnsi" w:hAnsiTheme="minorHAnsi" w:cstheme="minorHAnsi"/>
                <w:b w:val="0"/>
                <w:sz w:val="20"/>
                <w:szCs w:val="20"/>
                <w:lang w:val="ro-RO"/>
              </w:rPr>
              <w:t xml:space="preserve"> – investigarea ineficientă</w:t>
            </w:r>
          </w:p>
          <w:p w:rsidR="007F5F67" w:rsidRPr="008B5660" w:rsidRDefault="007F5F67" w:rsidP="007F5F67">
            <w:pPr>
              <w:rPr>
                <w:rStyle w:val="85pt"/>
                <w:rFonts w:asciiTheme="minorHAnsi" w:hAnsiTheme="minorHAnsi" w:cstheme="minorHAnsi"/>
                <w:b w:val="0"/>
                <w:sz w:val="20"/>
                <w:szCs w:val="20"/>
                <w:lang w:val="ro-RO"/>
              </w:rPr>
            </w:pPr>
            <w:r w:rsidRPr="008B5660">
              <w:rPr>
                <w:rStyle w:val="85pt"/>
                <w:rFonts w:asciiTheme="minorHAnsi" w:hAnsiTheme="minorHAnsi" w:cstheme="minorHAnsi"/>
                <w:b w:val="0"/>
                <w:sz w:val="20"/>
                <w:szCs w:val="20"/>
                <w:u w:val="single"/>
                <w:lang w:val="ro-RO"/>
              </w:rPr>
              <w:t>violarea art. 13 CEDO</w:t>
            </w:r>
            <w:r w:rsidRPr="008B5660">
              <w:rPr>
                <w:rStyle w:val="85pt"/>
                <w:rFonts w:asciiTheme="minorHAnsi" w:hAnsiTheme="minorHAnsi" w:cstheme="minorHAnsi"/>
                <w:b w:val="0"/>
                <w:sz w:val="20"/>
                <w:szCs w:val="20"/>
                <w:lang w:val="ro-RO"/>
              </w:rPr>
              <w:t xml:space="preserve"> – dreptul la un remediu efectiv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7" w:rsidRPr="008B5660" w:rsidRDefault="007F5F67" w:rsidP="007F5F67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cstheme="minorHAnsi"/>
                <w:bCs w:val="0"/>
                <w:color w:val="000000"/>
                <w:sz w:val="20"/>
                <w:szCs w:val="20"/>
                <w:highlight w:val="yellow"/>
                <w:lang w:val="ro-RO"/>
              </w:rPr>
            </w:pPr>
            <w:r w:rsidRPr="008B5660">
              <w:rPr>
                <w:rFonts w:cstheme="minorHAnsi"/>
                <w:bCs w:val="0"/>
                <w:color w:val="000000"/>
                <w:sz w:val="20"/>
                <w:szCs w:val="20"/>
                <w:highlight w:val="yellow"/>
                <w:lang w:val="ro-RO"/>
              </w:rPr>
              <w:t>Suma totala - EUR 12,000</w:t>
            </w:r>
          </w:p>
          <w:p w:rsidR="007F5F67" w:rsidRPr="008B5660" w:rsidRDefault="007F5F67" w:rsidP="007F5F67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cstheme="minorHAnsi"/>
                <w:b w:val="0"/>
                <w:sz w:val="20"/>
                <w:szCs w:val="20"/>
                <w:highlight w:val="yellow"/>
                <w:lang w:val="ro-RO"/>
              </w:rPr>
            </w:pPr>
            <w:r w:rsidRPr="008B5660">
              <w:rPr>
                <w:rFonts w:cstheme="minorHAnsi"/>
                <w:b w:val="0"/>
                <w:bCs w:val="0"/>
                <w:color w:val="000000"/>
                <w:sz w:val="20"/>
                <w:szCs w:val="20"/>
                <w:highlight w:val="yellow"/>
                <w:lang w:val="ro-RO"/>
              </w:rPr>
              <w:t>Prejud. moral - EUR12,000</w:t>
            </w:r>
          </w:p>
          <w:p w:rsidR="007F5F67" w:rsidRPr="008B5660" w:rsidRDefault="007F5F67" w:rsidP="007F5F67">
            <w:pPr>
              <w:pStyle w:val="1"/>
              <w:shd w:val="clear" w:color="auto" w:fill="auto"/>
              <w:spacing w:after="60" w:line="170" w:lineRule="exact"/>
              <w:ind w:left="100"/>
              <w:jc w:val="left"/>
              <w:rPr>
                <w:rStyle w:val="85pt"/>
                <w:rFonts w:asciiTheme="minorHAnsi" w:eastAsia="Calibri" w:hAnsiTheme="minorHAnsi" w:cstheme="minorHAnsi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67" w:rsidRPr="008B5660" w:rsidRDefault="007F5F67" w:rsidP="007F5F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</w:pP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1) </w:t>
            </w: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  <w:lang w:val="ro-RO"/>
              </w:rPr>
              <w:t xml:space="preserve">Comisariatului de Poliție Botanica </w:t>
            </w: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: persoanele cu functie de raspundere </w:t>
            </w: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t xml:space="preserve">- </w:t>
            </w: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ro-RO"/>
              </w:rPr>
              <w:t>care nu au întreprins  măsuri pentru acumularea probelor și pentru pornirea urmăririi penale pe marginea plângerii lui I.P. privind faptul relelor tratamente avute împotriva ei.</w:t>
            </w: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br/>
            </w: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2) </w:t>
            </w: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  <w:lang w:val="ro-RO"/>
              </w:rPr>
              <w:t>Procuratura mun.Chișinău</w:t>
            </w: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: </w:t>
            </w:r>
            <w:r w:rsidRPr="008B56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Corpaci Lilian </w:t>
            </w: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ro-RO"/>
              </w:rPr>
              <w:t>și</w:t>
            </w:r>
            <w:r w:rsidRPr="008B56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Balan Veaceslav</w:t>
            </w: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 (ce au decis neînceperea urmăririi penale pe marginea plângerii lui I.P. privind relele tratamente)</w:t>
            </w: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lang w:val="ro-RO"/>
              </w:rPr>
              <w:br/>
            </w: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3) </w:t>
            </w: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shd w:val="clear" w:color="auto" w:fill="FFFFFF"/>
                <w:lang w:val="ro-RO"/>
              </w:rPr>
              <w:t>Judecatoria Râșcani mun.Chișinău:</w:t>
            </w: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Pr="008B56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shd w:val="clear" w:color="auto" w:fill="FFFFFF"/>
                <w:lang w:val="ro-RO"/>
              </w:rPr>
              <w:t>Morozan Ghenadie</w:t>
            </w:r>
            <w:r w:rsidRPr="008B56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 </w:t>
            </w:r>
            <w:r w:rsidRPr="008B56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  <w:lang w:val="ro-RO"/>
              </w:rPr>
              <w:t xml:space="preserve"> (ce a respins plângerea reclamantei I.P. împotriva ordonanței procurorului Corpaci Lilian prin care s-a decis neînceperea urmăririi penale pe marginea plângerii lui I.P.)</w:t>
            </w:r>
          </w:p>
        </w:tc>
      </w:tr>
      <w:bookmarkEnd w:id="0"/>
    </w:tbl>
    <w:p w:rsidR="000B5735" w:rsidRPr="008B5660" w:rsidRDefault="008B5660" w:rsidP="00326231">
      <w:pPr>
        <w:rPr>
          <w:rFonts w:asciiTheme="minorHAnsi" w:hAnsiTheme="minorHAnsi" w:cstheme="minorHAnsi"/>
          <w:bCs/>
          <w:color w:val="000000"/>
          <w:sz w:val="20"/>
          <w:szCs w:val="20"/>
          <w:lang w:val="ro-RO"/>
        </w:rPr>
      </w:pPr>
    </w:p>
    <w:sectPr w:rsidR="000B5735" w:rsidRPr="008B5660" w:rsidSect="00B34E93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93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6F7C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5060"/>
    <w:rsid w:val="002E6AD9"/>
    <w:rsid w:val="002E7D0A"/>
    <w:rsid w:val="002F1296"/>
    <w:rsid w:val="002F2343"/>
    <w:rsid w:val="002F5060"/>
    <w:rsid w:val="002F64C4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231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00D3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482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5F67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686"/>
    <w:rsid w:val="008A4F39"/>
    <w:rsid w:val="008A53B2"/>
    <w:rsid w:val="008A61C2"/>
    <w:rsid w:val="008A7B80"/>
    <w:rsid w:val="008B08A6"/>
    <w:rsid w:val="008B0997"/>
    <w:rsid w:val="008B15B3"/>
    <w:rsid w:val="008B2278"/>
    <w:rsid w:val="008B5660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8F7861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0DA1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6A46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4E93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0F47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662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360A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C4968-FFA8-418A-9611-169093EB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B34E93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B34E93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table" w:styleId="TableGrid">
    <w:name w:val="Table Grid"/>
    <w:basedOn w:val="TableNormal"/>
    <w:rsid w:val="002E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Не полужирный"/>
    <w:rsid w:val="007F5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rsid w:val="007F5F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Diana</cp:lastModifiedBy>
  <cp:revision>4</cp:revision>
  <dcterms:created xsi:type="dcterms:W3CDTF">2020-02-27T13:12:00Z</dcterms:created>
  <dcterms:modified xsi:type="dcterms:W3CDTF">2020-02-27T13:14:00Z</dcterms:modified>
</cp:coreProperties>
</file>