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F83379" w:rsidRPr="00DE378E" w:rsidRDefault="00F83379" w:rsidP="00F83379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F83379" w:rsidRPr="00DE378E" w:rsidRDefault="00F83379" w:rsidP="00F83379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2017</w:t>
      </w:r>
    </w:p>
    <w:p w:rsidR="00F83379" w:rsidRDefault="00F83379" w:rsidP="00F83379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F83379" w:rsidRDefault="00F83379" w:rsidP="00F83379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F83379" w:rsidRPr="00DE378E" w:rsidRDefault="00F83379" w:rsidP="00F83379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960"/>
        <w:gridCol w:w="2340"/>
        <w:gridCol w:w="3960"/>
      </w:tblGrid>
      <w:tr w:rsidR="00F83379" w:rsidRPr="00DE378E" w:rsidTr="003C586F">
        <w:tc>
          <w:tcPr>
            <w:tcW w:w="360" w:type="dxa"/>
          </w:tcPr>
          <w:p w:rsidR="00F83379" w:rsidRPr="00DE378E" w:rsidRDefault="00F83379" w:rsidP="003C586F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F83379" w:rsidRPr="00DE378E" w:rsidRDefault="00F83379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F83379" w:rsidRPr="00DE378E" w:rsidRDefault="00F83379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F83379" w:rsidRPr="00DE378E" w:rsidRDefault="00F83379" w:rsidP="003C586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F83379" w:rsidRPr="00DE378E" w:rsidRDefault="00F83379" w:rsidP="003C586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F83379" w:rsidRPr="00DE378E" w:rsidTr="003C586F">
        <w:tc>
          <w:tcPr>
            <w:tcW w:w="360" w:type="dxa"/>
          </w:tcPr>
          <w:p w:rsidR="00F83379" w:rsidRPr="00DE378E" w:rsidRDefault="00F83379" w:rsidP="003C586F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2430" w:type="dxa"/>
          </w:tcPr>
          <w:p w:rsidR="00F83379" w:rsidRDefault="00F83379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hyperlink r:id="rId4" w:history="1">
              <w:proofErr w:type="spellStart"/>
              <w:r w:rsidRPr="00F30D05">
                <w:rPr>
                  <w:rStyle w:val="Hyperlink"/>
                  <w:sz w:val="18"/>
                  <w:szCs w:val="18"/>
                </w:rPr>
                <w:t>Ba</w:t>
              </w:r>
              <w:r w:rsidRPr="00F30D05">
                <w:rPr>
                  <w:rStyle w:val="Hyperlink"/>
                  <w:sz w:val="18"/>
                  <w:szCs w:val="18"/>
                </w:rPr>
                <w:t>l</w:t>
              </w:r>
              <w:r w:rsidRPr="00F30D05">
                <w:rPr>
                  <w:rStyle w:val="Hyperlink"/>
                  <w:sz w:val="18"/>
                  <w:szCs w:val="18"/>
                </w:rPr>
                <w:t>akin</w:t>
              </w:r>
              <w:proofErr w:type="spellEnd"/>
            </w:hyperlink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 xml:space="preserve"> c. </w:t>
            </w:r>
            <w:proofErr w:type="spellStart"/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>Moldovei</w:t>
            </w:r>
            <w:proofErr w:type="spellEnd"/>
          </w:p>
          <w:p w:rsidR="00F83379" w:rsidRPr="00DE378E" w:rsidRDefault="00F83379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F83379" w:rsidRPr="00DE378E" w:rsidRDefault="00F83379" w:rsidP="003C586F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DE378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26/01/2016</w:t>
            </w:r>
          </w:p>
        </w:tc>
        <w:tc>
          <w:tcPr>
            <w:tcW w:w="1086" w:type="dxa"/>
          </w:tcPr>
          <w:p w:rsidR="00F83379" w:rsidRPr="00DE378E" w:rsidRDefault="00F83379" w:rsidP="003C586F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color w:val="auto"/>
                <w:sz w:val="18"/>
                <w:szCs w:val="18"/>
                <w:lang w:val="ro-RO"/>
              </w:rPr>
            </w:pPr>
            <w:hyperlink r:id="rId5" w:anchor="{&quot;fulltext&quot;:[&quot;59474/11&quot;],&quot;documentcollectionid2&quot;:[&quot;JUDGMENTS&quot;,&quot;DECISIONS&quot;,&quot;COMMUNICATEDCASES&quot;]}" w:history="1"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59474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/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11</w:t>
              </w:r>
            </w:hyperlink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5 § 3 CEDO</w:t>
            </w: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 xml:space="preserve"> – lipsa motivelor relevante și suficiente pentru aplicarea arestului preventiv</w:t>
            </w: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Curt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ea a constatat, în unanimitate,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 xml:space="preserve"> că detenția reclamantului a fost excesiv de </w:t>
            </w:r>
            <w:r w:rsidRPr="00CB114C">
              <w:rPr>
                <w:rFonts w:ascii="Calibri" w:hAnsi="Calibri" w:cs="Calibri"/>
                <w:sz w:val="18"/>
                <w:szCs w:val="18"/>
                <w:lang w:val="ro-RO"/>
              </w:rPr>
              <w:t xml:space="preserve">lungă (pentru o perioadă mai mare de 29 de luni, pe aceleași motive) și 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nu s-a bazat pe motive suficiente și relevante.</w:t>
            </w:r>
          </w:p>
          <w:p w:rsidR="00F83379" w:rsidRPr="00CB114C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F83379" w:rsidRPr="00DE378E" w:rsidRDefault="00F83379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sz w:val="18"/>
                <w:szCs w:val="18"/>
              </w:rPr>
            </w:pPr>
            <w:r w:rsidRPr="00DE378E">
              <w:rPr>
                <w:bCs w:val="0"/>
                <w:sz w:val="18"/>
                <w:szCs w:val="18"/>
              </w:rPr>
              <w:t xml:space="preserve">Reclamantul nu a formulat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pretenţii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cu titlu de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satisfacţie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echitabilă</w:t>
            </w:r>
          </w:p>
        </w:tc>
        <w:tc>
          <w:tcPr>
            <w:tcW w:w="3960" w:type="dxa"/>
          </w:tcPr>
          <w:p w:rsidR="00F83379" w:rsidRPr="009218C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  <w:r w:rsidRPr="00776BDB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municipiului Chișinău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GUZIC Vlad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procuror (a solicitat prelungirea arestului peste termenul legal prevăzut de legislația în vigoare)</w:t>
            </w: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</w:p>
          <w:p w:rsidR="00F83379" w:rsidRPr="007E1424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9218C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Ialoveni</w:t>
            </w:r>
            <w:r w:rsidRPr="009218C9">
              <w:rPr>
                <w:rFonts w:ascii="Calibri" w:hAnsi="Calibri"/>
                <w:sz w:val="18"/>
                <w:szCs w:val="18"/>
                <w:lang w:val="ro-R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8E74F6">
              <w:rPr>
                <w:rFonts w:ascii="Calibri" w:hAnsi="Calibri"/>
                <w:b/>
                <w:sz w:val="18"/>
                <w:szCs w:val="18"/>
                <w:lang w:val="ro-RO"/>
              </w:rPr>
              <w:t>SANDU Alexandru</w:t>
            </w:r>
            <w:r w:rsidRPr="009218C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, </w:t>
            </w:r>
            <w:r w:rsidRPr="008E74F6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TOMA Nadejda,</w:t>
            </w:r>
            <w:r w:rsidRPr="009218C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LUNGU Grigore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(judecătorii care examinau cauza, </w:t>
            </w:r>
            <w:bookmarkStart w:id="0" w:name="_GoBack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nu l-au eliberat din arest pe reclamant,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>în confo</w:t>
            </w:r>
            <w:bookmarkEnd w:id="0"/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 xml:space="preserve">rmitate cu Articolul 186 (8) al Codului de procedură penală,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care prevede că,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>odată ce dosarul este trimis în instanța de judecată, arestul nu poate depăși 6 lun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i,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decît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în cazuri excepționale)</w:t>
            </w:r>
          </w:p>
          <w:p w:rsidR="00F83379" w:rsidRPr="00521960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</w:tr>
    </w:tbl>
    <w:p w:rsidR="005D7EA1" w:rsidRPr="00F83379" w:rsidRDefault="005D7EA1">
      <w:pPr>
        <w:rPr>
          <w:lang w:val="ro-RO"/>
        </w:rPr>
      </w:pPr>
    </w:p>
    <w:sectPr w:rsidR="005D7EA1" w:rsidRPr="00F83379" w:rsidSect="00B82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A"/>
    <w:rsid w:val="005D7EA1"/>
    <w:rsid w:val="008E74F6"/>
    <w:rsid w:val="00B8259A"/>
    <w:rsid w:val="00CA0DA3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B9D5-4353-41F3-8322-734CFE8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F83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F833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F8337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8337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styleId="Hyperlink">
    <w:name w:val="Hyperlink"/>
    <w:basedOn w:val="DefaultParagraphFont"/>
    <w:rsid w:val="00F8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www.lhr.md/news/4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2017-03-01T13:24:00Z</dcterms:created>
  <dcterms:modified xsi:type="dcterms:W3CDTF">2017-03-01T13:25:00Z</dcterms:modified>
</cp:coreProperties>
</file>